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6539A1" w:rsidP="00635217">
      <w:pPr>
        <w:spacing w:before="2" w:after="0" w:line="120" w:lineRule="exact"/>
        <w:rPr>
          <w:sz w:val="12"/>
          <w:szCs w:val="12"/>
        </w:rPr>
      </w:pPr>
      <w:r w:rsidRPr="006539A1">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C00BA4">
        <w:rPr>
          <w:rFonts w:ascii="Verdana" w:eastAsia="Verdana" w:hAnsi="Verdana" w:cs="Verdana"/>
        </w:rPr>
        <w:t>December 4</w:t>
      </w:r>
      <w:r w:rsidR="00665A3B">
        <w:rPr>
          <w:rFonts w:ascii="Verdana" w:eastAsia="Verdana" w:hAnsi="Verdana" w:cs="Verdana"/>
        </w:rPr>
        <w:t>, 2017</w:t>
      </w:r>
    </w:p>
    <w:p w:rsidR="000B0F3C" w:rsidRDefault="00635217" w:rsidP="00602841">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0B5C0C" w:rsidRPr="000B5C0C" w:rsidRDefault="000B5C0C" w:rsidP="000B5C0C">
      <w:pPr>
        <w:pStyle w:val="NoSpacing"/>
        <w:rPr>
          <w:rFonts w:ascii="Verdana" w:eastAsia="Verdana" w:hAnsi="Verdana" w:cs="Verdana"/>
          <w:b/>
          <w:bCs/>
          <w:caps/>
          <w:spacing w:val="1"/>
          <w:position w:val="-1"/>
          <w:sz w:val="22"/>
          <w:u w:val="thick" w:color="000000"/>
        </w:rPr>
      </w:pPr>
      <w:r w:rsidRPr="000B5C0C">
        <w:rPr>
          <w:rFonts w:ascii="Verdana" w:eastAsia="Verdana" w:hAnsi="Verdana" w:cs="Verdana"/>
          <w:b/>
          <w:bCs/>
          <w:caps/>
          <w:spacing w:val="1"/>
          <w:position w:val="-1"/>
          <w:sz w:val="22"/>
          <w:u w:val="thick" w:color="000000"/>
        </w:rPr>
        <w:t>House Finance Committee Meeting</w:t>
      </w:r>
      <w:r>
        <w:rPr>
          <w:rFonts w:ascii="Verdana" w:eastAsia="Verdana" w:hAnsi="Verdana" w:cs="Verdana"/>
          <w:b/>
          <w:bCs/>
          <w:caps/>
          <w:spacing w:val="1"/>
          <w:position w:val="-1"/>
          <w:sz w:val="22"/>
          <w:u w:val="thick" w:color="000000"/>
        </w:rPr>
        <w:t xml:space="preserve"> on pstap initiative </w:t>
      </w:r>
    </w:p>
    <w:p w:rsidR="000B5C0C" w:rsidRPr="000B5C0C" w:rsidRDefault="000B5C0C" w:rsidP="000B5C0C">
      <w:pPr>
        <w:pStyle w:val="NoSpacing"/>
        <w:rPr>
          <w:rFonts w:ascii="Verdana" w:hAnsi="Verdana"/>
          <w:sz w:val="20"/>
          <w:szCs w:val="20"/>
        </w:rPr>
      </w:pPr>
      <w:r w:rsidRPr="000B5C0C">
        <w:rPr>
          <w:rFonts w:ascii="Verdana" w:eastAsia="Verdana" w:hAnsi="Verdana"/>
          <w:sz w:val="20"/>
          <w:szCs w:val="20"/>
          <w:u w:color="000000"/>
        </w:rPr>
        <w:t xml:space="preserve">As noted below, the House Finance Committee scheduled a voting meeting to consider HB 1098. HB 1098 sponsored by Rep. </w:t>
      </w:r>
      <w:r w:rsidRPr="000B5C0C">
        <w:rPr>
          <w:rFonts w:ascii="Verdana" w:hAnsi="Verdana"/>
          <w:sz w:val="20"/>
          <w:szCs w:val="20"/>
        </w:rPr>
        <w:t xml:space="preserve">Peifer (Amends the Local Tax Enabling Act) </w:t>
      </w:r>
      <w:r w:rsidRPr="000B5C0C">
        <w:rPr>
          <w:rFonts w:ascii="Verdana" w:eastAsiaTheme="minorHAnsi" w:hAnsi="Verdana"/>
          <w:sz w:val="20"/>
          <w:szCs w:val="20"/>
        </w:rPr>
        <w:t>eliminate</w:t>
      </w:r>
      <w:r w:rsidRPr="000B5C0C">
        <w:rPr>
          <w:rFonts w:ascii="Verdana" w:hAnsi="Verdana"/>
          <w:sz w:val="20"/>
          <w:szCs w:val="20"/>
        </w:rPr>
        <w:t>s</w:t>
      </w:r>
      <w:r w:rsidRPr="000B5C0C">
        <w:rPr>
          <w:rFonts w:ascii="Verdana" w:eastAsiaTheme="minorHAnsi" w:hAnsi="Verdana"/>
          <w:sz w:val="20"/>
          <w:szCs w:val="20"/>
        </w:rPr>
        <w:t xml:space="preserve"> the need to file local tax returns if a taxpayer had no income subject to local tax and met the filing exemptions for state and federal taxes in the preceding year.  Additionally</w:t>
      </w:r>
      <w:r>
        <w:rPr>
          <w:rFonts w:ascii="Verdana" w:eastAsiaTheme="minorHAnsi" w:hAnsi="Verdana"/>
          <w:sz w:val="20"/>
          <w:szCs w:val="20"/>
        </w:rPr>
        <w:t>,</w:t>
      </w:r>
      <w:r w:rsidRPr="000B5C0C">
        <w:rPr>
          <w:rFonts w:ascii="Verdana" w:hAnsi="Verdana"/>
          <w:sz w:val="20"/>
          <w:szCs w:val="20"/>
        </w:rPr>
        <w:t xml:space="preserve"> the bill </w:t>
      </w:r>
      <w:r w:rsidRPr="000B5C0C">
        <w:rPr>
          <w:rFonts w:ascii="Verdana" w:eastAsiaTheme="minorHAnsi" w:hAnsi="Verdana"/>
          <w:sz w:val="20"/>
          <w:szCs w:val="20"/>
        </w:rPr>
        <w:t>establish</w:t>
      </w:r>
      <w:r w:rsidRPr="000B5C0C">
        <w:rPr>
          <w:rFonts w:ascii="Verdana" w:hAnsi="Verdana"/>
          <w:sz w:val="20"/>
          <w:szCs w:val="20"/>
        </w:rPr>
        <w:t>es</w:t>
      </w:r>
      <w:r w:rsidRPr="000B5C0C">
        <w:rPr>
          <w:rFonts w:ascii="Verdana" w:eastAsiaTheme="minorHAnsi" w:hAnsi="Verdana"/>
          <w:sz w:val="20"/>
          <w:szCs w:val="20"/>
        </w:rPr>
        <w:t xml:space="preserve"> a de </w:t>
      </w:r>
      <w:proofErr w:type="spellStart"/>
      <w:r w:rsidRPr="000B5C0C">
        <w:rPr>
          <w:rFonts w:ascii="Verdana" w:eastAsiaTheme="minorHAnsi" w:hAnsi="Verdana"/>
          <w:sz w:val="20"/>
          <w:szCs w:val="20"/>
        </w:rPr>
        <w:t>minimis</w:t>
      </w:r>
      <w:proofErr w:type="spellEnd"/>
      <w:r w:rsidRPr="000B5C0C">
        <w:rPr>
          <w:rFonts w:ascii="Verdana" w:eastAsiaTheme="minorHAnsi" w:hAnsi="Verdana"/>
          <w:sz w:val="20"/>
          <w:szCs w:val="20"/>
        </w:rPr>
        <w:t xml:space="preserve"> dollar amount to be reported for estimated taxes ($12,000), applicable to all classes of income</w:t>
      </w:r>
      <w:r w:rsidRPr="000B5C0C">
        <w:rPr>
          <w:rFonts w:ascii="Verdana" w:hAnsi="Verdana"/>
          <w:sz w:val="20"/>
          <w:szCs w:val="20"/>
        </w:rPr>
        <w:t xml:space="preserve"> and </w:t>
      </w:r>
      <w:r w:rsidRPr="000B5C0C">
        <w:rPr>
          <w:rFonts w:ascii="Verdana" w:eastAsiaTheme="minorHAnsi" w:hAnsi="Verdana"/>
          <w:sz w:val="20"/>
          <w:szCs w:val="20"/>
        </w:rPr>
        <w:t>eliminate</w:t>
      </w:r>
      <w:r w:rsidRPr="000B5C0C">
        <w:rPr>
          <w:rFonts w:ascii="Verdana" w:hAnsi="Verdana"/>
          <w:sz w:val="20"/>
          <w:szCs w:val="20"/>
        </w:rPr>
        <w:t>s</w:t>
      </w:r>
      <w:r w:rsidRPr="000B5C0C">
        <w:rPr>
          <w:rFonts w:ascii="Verdana" w:eastAsiaTheme="minorHAnsi" w:hAnsi="Verdana"/>
          <w:sz w:val="20"/>
          <w:szCs w:val="20"/>
        </w:rPr>
        <w:t xml:space="preserve"> $0 quarterly estimated tax filings if</w:t>
      </w:r>
      <w:r w:rsidRPr="000B5C0C">
        <w:rPr>
          <w:rFonts w:ascii="Verdana" w:hAnsi="Verdana"/>
          <w:sz w:val="20"/>
          <w:szCs w:val="20"/>
        </w:rPr>
        <w:t xml:space="preserve"> a resident’s </w:t>
      </w:r>
      <w:r w:rsidRPr="000B5C0C">
        <w:rPr>
          <w:rFonts w:ascii="Verdana" w:eastAsiaTheme="minorHAnsi" w:hAnsi="Verdana"/>
          <w:sz w:val="20"/>
          <w:szCs w:val="20"/>
        </w:rPr>
        <w:t>tax liability is $200 or less and is paid in full.</w:t>
      </w:r>
    </w:p>
    <w:p w:rsidR="000B5C0C" w:rsidRDefault="00E02011" w:rsidP="000B5C0C">
      <w:pPr>
        <w:pStyle w:val="NoSpacing"/>
        <w:rPr>
          <w:rFonts w:ascii="Verdana" w:eastAsia="Verdana" w:hAnsi="Verdana" w:cs="Verdana"/>
          <w:b/>
          <w:bCs/>
          <w:spacing w:val="1"/>
          <w:position w:val="-1"/>
          <w:sz w:val="22"/>
          <w:u w:val="thick" w:color="000000"/>
        </w:rPr>
      </w:pPr>
      <w:r>
        <w:rPr>
          <w:rFonts w:ascii="Verdana" w:eastAsia="Verdana" w:hAnsi="Verdana" w:cs="Verdana"/>
          <w:b/>
          <w:bCs/>
          <w:spacing w:val="1"/>
          <w:position w:val="-1"/>
          <w:sz w:val="22"/>
          <w:u w:val="thick" w:color="000000"/>
        </w:rPr>
        <w:t>CO-SPONSOR MEMOS</w:t>
      </w:r>
    </w:p>
    <w:p w:rsidR="000B5C0C" w:rsidRDefault="00E02011" w:rsidP="000B5C0C">
      <w:pPr>
        <w:pStyle w:val="NoSpacing"/>
        <w:rPr>
          <w:rFonts w:ascii="Verdana" w:eastAsia="Verdana" w:hAnsi="Verdana" w:cs="Verdana"/>
          <w:bCs/>
          <w:spacing w:val="1"/>
          <w:position w:val="-1"/>
          <w:sz w:val="20"/>
        </w:rPr>
      </w:pPr>
      <w:r w:rsidRPr="00E02011">
        <w:rPr>
          <w:rFonts w:ascii="Verdana" w:eastAsia="Verdana" w:hAnsi="Verdana"/>
          <w:sz w:val="20"/>
          <w:u w:color="000000"/>
        </w:rPr>
        <w:t xml:space="preserve">This week, Representative Mark Mustio circulated co-sponsorship memorandum for legislation </w:t>
      </w:r>
      <w:r w:rsidRPr="00E02011">
        <w:rPr>
          <w:rFonts w:ascii="Verdana" w:hAnsi="Verdana"/>
          <w:sz w:val="20"/>
          <w:shd w:val="clear" w:color="auto" w:fill="FFFFFF"/>
        </w:rPr>
        <w:t>to preempt local taxation of sweetened beverages in the Commonwealth of Pennsylvania. The legislation would be designed to prohibit any municipality from levying such a tax while also invalidating the current soda tax in Philadelphia.</w:t>
      </w:r>
      <w:r w:rsidR="004347A7">
        <w:rPr>
          <w:rFonts w:ascii="Verdana" w:hAnsi="Verdana"/>
          <w:sz w:val="20"/>
          <w:shd w:val="clear" w:color="auto" w:fill="FFFFFF"/>
        </w:rPr>
        <w:t xml:space="preserve"> Representative James Santora circulated co-sponsorship memorandum for legislation establishing a Volunteer First Responder Education Tax Credit Program. Specifically, this legislation would provide a scholarship of up to $5,000 per active volunteer first responder to attend a Pennsylvania institution of higher education.</w:t>
      </w:r>
      <w:r w:rsidR="00720FE5">
        <w:rPr>
          <w:rFonts w:ascii="Verdana" w:hAnsi="Verdana"/>
          <w:sz w:val="20"/>
          <w:shd w:val="clear" w:color="auto" w:fill="FFFFFF"/>
        </w:rPr>
        <w:t xml:space="preserve"> </w:t>
      </w:r>
      <w:r w:rsidR="00720FE5" w:rsidRPr="00720FE5">
        <w:rPr>
          <w:rFonts w:ascii="Verdana" w:eastAsia="Verdana" w:hAnsi="Verdana" w:cs="Verdana"/>
          <w:bCs/>
          <w:spacing w:val="1"/>
          <w:position w:val="-1"/>
          <w:sz w:val="20"/>
        </w:rPr>
        <w:t>Representative Carolyn Comitta circulated a memo for a bill that would provide for a childcare tax deduction from the state income tax. The proposed deduction would be a dollar-for-dollar deduction up to $10,000 annually.</w:t>
      </w:r>
    </w:p>
    <w:p w:rsidR="00720FE5" w:rsidRPr="00720FE5" w:rsidRDefault="00720FE5" w:rsidP="00720FE5">
      <w:pPr>
        <w:pStyle w:val="NoSpacing"/>
        <w:rPr>
          <w:rFonts w:ascii="Verdana" w:hAnsi="Verdana"/>
          <w:b/>
          <w:caps/>
          <w:sz w:val="22"/>
          <w:szCs w:val="20"/>
          <w:u w:val="thick"/>
        </w:rPr>
      </w:pPr>
      <w:r w:rsidRPr="00720FE5">
        <w:rPr>
          <w:rFonts w:ascii="Verdana" w:hAnsi="Verdana"/>
          <w:b/>
          <w:caps/>
          <w:sz w:val="22"/>
          <w:szCs w:val="20"/>
          <w:u w:val="thick"/>
        </w:rPr>
        <w:t>Monthly, year-to-date state revenue collections above estimates</w:t>
      </w:r>
    </w:p>
    <w:p w:rsidR="00720FE5" w:rsidRDefault="00720FE5" w:rsidP="000B5C0C">
      <w:pPr>
        <w:pStyle w:val="NoSpacing"/>
        <w:rPr>
          <w:rFonts w:ascii="Verdana" w:hAnsi="Verdana"/>
          <w:color w:val="000000"/>
          <w:sz w:val="20"/>
          <w:szCs w:val="20"/>
          <w:bdr w:val="none" w:sz="0" w:space="0" w:color="auto" w:frame="1"/>
        </w:rPr>
      </w:pPr>
      <w:r w:rsidRPr="00720FE5">
        <w:rPr>
          <w:rFonts w:ascii="Verdana" w:hAnsi="Verdana"/>
          <w:color w:val="000000"/>
          <w:sz w:val="20"/>
          <w:szCs w:val="20"/>
          <w:bdr w:val="none" w:sz="0" w:space="0" w:color="auto" w:frame="1"/>
        </w:rPr>
        <w:t>State revenue collections for the month of November came in above estimate, the Department of Revenue reported Friday.</w:t>
      </w:r>
      <w:r>
        <w:rPr>
          <w:rFonts w:ascii="Verdana" w:hAnsi="Verdana"/>
          <w:sz w:val="20"/>
          <w:szCs w:val="20"/>
        </w:rPr>
        <w:t xml:space="preserve"> </w:t>
      </w:r>
      <w:r w:rsidRPr="00720FE5">
        <w:rPr>
          <w:rFonts w:ascii="Verdana" w:hAnsi="Verdana"/>
          <w:color w:val="000000"/>
          <w:sz w:val="20"/>
          <w:szCs w:val="20"/>
          <w:bdr w:val="none" w:sz="0" w:space="0" w:color="auto" w:frame="1"/>
        </w:rPr>
        <w:t>According to the department, November’s collections of $2.2 billion exceeded estimates by $47.2 million or 0.4 percent. The total collections in November bring FY 2017-2018 collections $26.1 million or 0.2 percent above estimate with total collections ringing in at $11.4 billion.</w:t>
      </w:r>
      <w:r>
        <w:rPr>
          <w:rFonts w:ascii="Verdana" w:hAnsi="Verdana"/>
          <w:sz w:val="20"/>
          <w:szCs w:val="20"/>
        </w:rPr>
        <w:t xml:space="preserve"> </w:t>
      </w:r>
      <w:r w:rsidRPr="00720FE5">
        <w:rPr>
          <w:rFonts w:ascii="Verdana" w:hAnsi="Verdana"/>
          <w:color w:val="000000"/>
          <w:sz w:val="20"/>
          <w:szCs w:val="20"/>
          <w:bdr w:val="none" w:sz="0" w:space="0" w:color="auto" w:frame="1"/>
        </w:rPr>
        <w:t>Revenue collections for November—and for the year—are above estimate in all major categories, including the sales tax, the personal income tax, the corporate net income tax, the inheritance tax, and the realty transfer tax.</w:t>
      </w:r>
      <w:r>
        <w:rPr>
          <w:rFonts w:ascii="Verdana" w:hAnsi="Verdana"/>
          <w:sz w:val="20"/>
          <w:szCs w:val="20"/>
        </w:rPr>
        <w:t xml:space="preserve"> </w:t>
      </w:r>
      <w:r w:rsidRPr="00720FE5">
        <w:rPr>
          <w:rFonts w:ascii="Verdana" w:hAnsi="Verdana"/>
          <w:color w:val="000000"/>
          <w:sz w:val="20"/>
          <w:szCs w:val="20"/>
          <w:bdr w:val="none" w:sz="0" w:space="0" w:color="auto" w:frame="1"/>
        </w:rPr>
        <w:t>General Fund revenue from combined sources of cigarette, malt beverage, liquor and gaming taxes were below estimate for the month, along with other non-tax revenue sources</w:t>
      </w:r>
      <w:r w:rsidR="0080674D">
        <w:rPr>
          <w:rFonts w:ascii="Verdana" w:hAnsi="Verdana"/>
          <w:color w:val="000000"/>
          <w:sz w:val="20"/>
          <w:szCs w:val="20"/>
          <w:bdr w:val="none" w:sz="0" w:space="0" w:color="auto" w:frame="1"/>
        </w:rPr>
        <w:t>.</w:t>
      </w:r>
    </w:p>
    <w:p w:rsidR="00110772" w:rsidRPr="00110772" w:rsidRDefault="00110772" w:rsidP="000B5C0C">
      <w:pPr>
        <w:pStyle w:val="NoSpacing"/>
        <w:rPr>
          <w:rFonts w:ascii="Verdana" w:hAnsi="Verdana"/>
          <w:b/>
          <w:color w:val="000000"/>
          <w:sz w:val="22"/>
          <w:szCs w:val="20"/>
          <w:u w:val="thick"/>
          <w:bdr w:val="none" w:sz="0" w:space="0" w:color="auto" w:frame="1"/>
        </w:rPr>
      </w:pPr>
      <w:r w:rsidRPr="00110772">
        <w:rPr>
          <w:rFonts w:ascii="Verdana" w:hAnsi="Verdana"/>
          <w:b/>
          <w:color w:val="000000"/>
          <w:sz w:val="22"/>
          <w:szCs w:val="20"/>
          <w:u w:val="thick"/>
          <w:bdr w:val="none" w:sz="0" w:space="0" w:color="auto" w:frame="1"/>
        </w:rPr>
        <w:t xml:space="preserve">DEPARTMENT OF REVENUE GO-TIME SAVINGS </w:t>
      </w:r>
    </w:p>
    <w:p w:rsidR="0080674D" w:rsidRPr="00720FE5" w:rsidRDefault="0080674D" w:rsidP="000B5C0C">
      <w:pPr>
        <w:pStyle w:val="NoSpacing"/>
        <w:rPr>
          <w:rFonts w:ascii="Verdana" w:hAnsi="Verdana"/>
          <w:sz w:val="20"/>
          <w:szCs w:val="20"/>
        </w:rPr>
      </w:pPr>
      <w:r>
        <w:rPr>
          <w:rFonts w:ascii="Verdana" w:hAnsi="Verdana"/>
          <w:color w:val="000000"/>
          <w:sz w:val="20"/>
          <w:szCs w:val="20"/>
          <w:bdr w:val="none" w:sz="0" w:space="0" w:color="auto" w:frame="1"/>
        </w:rPr>
        <w:t xml:space="preserve">The Department of Revenue held a press conference Thursday morning to outline the $29.3 million dollars saved through Governor Wolf’s GO-TIME initiative. Revenue Secretary Dan </w:t>
      </w:r>
      <w:proofErr w:type="spellStart"/>
      <w:r>
        <w:rPr>
          <w:rFonts w:ascii="Verdana" w:hAnsi="Verdana"/>
          <w:color w:val="000000"/>
          <w:sz w:val="20"/>
          <w:szCs w:val="20"/>
          <w:bdr w:val="none" w:sz="0" w:space="0" w:color="auto" w:frame="1"/>
        </w:rPr>
        <w:t>Hassell</w:t>
      </w:r>
      <w:proofErr w:type="spellEnd"/>
      <w:r>
        <w:rPr>
          <w:rFonts w:ascii="Verdana" w:hAnsi="Verdana"/>
          <w:color w:val="000000"/>
          <w:sz w:val="20"/>
          <w:szCs w:val="20"/>
          <w:bdr w:val="none" w:sz="0" w:space="0" w:color="auto" w:frame="1"/>
        </w:rPr>
        <w:t xml:space="preserve"> announced that it was saved through the</w:t>
      </w:r>
      <w:r w:rsidR="00110772">
        <w:rPr>
          <w:rFonts w:ascii="Verdana" w:hAnsi="Verdana"/>
          <w:color w:val="000000"/>
          <w:sz w:val="20"/>
          <w:szCs w:val="20"/>
          <w:bdr w:val="none" w:sz="0" w:space="0" w:color="auto" w:frame="1"/>
        </w:rPr>
        <w:t xml:space="preserve"> process of preventing the</w:t>
      </w:r>
      <w:r>
        <w:rPr>
          <w:rFonts w:ascii="Verdana" w:hAnsi="Verdana"/>
          <w:color w:val="000000"/>
          <w:sz w:val="20"/>
          <w:szCs w:val="20"/>
          <w:bdr w:val="none" w:sz="0" w:space="0" w:color="auto" w:frame="1"/>
        </w:rPr>
        <w:t xml:space="preserve"> issuance of fraudulent and erroneous tax refunds</w:t>
      </w:r>
      <w:r w:rsidR="00110772">
        <w:rPr>
          <w:rFonts w:ascii="Verdana" w:hAnsi="Verdana"/>
          <w:color w:val="000000"/>
          <w:sz w:val="20"/>
          <w:szCs w:val="20"/>
          <w:bdr w:val="none" w:sz="0" w:space="0" w:color="auto" w:frame="1"/>
        </w:rPr>
        <w:t xml:space="preserve"> and re-negotiating a software contract that helps detect fraudulent returns</w:t>
      </w:r>
      <w:r>
        <w:rPr>
          <w:rFonts w:ascii="Verdana" w:hAnsi="Verdana"/>
          <w:color w:val="000000"/>
          <w:sz w:val="20"/>
          <w:szCs w:val="20"/>
          <w:bdr w:val="none" w:sz="0" w:space="0" w:color="auto" w:frame="1"/>
        </w:rPr>
        <w:t>. He estimated that $80.5 million will be saved over four years.</w:t>
      </w:r>
      <w:r w:rsidR="00110772">
        <w:rPr>
          <w:rFonts w:ascii="Verdana" w:hAnsi="Verdana"/>
          <w:color w:val="000000"/>
          <w:sz w:val="20"/>
          <w:szCs w:val="20"/>
          <w:bdr w:val="none" w:sz="0" w:space="0" w:color="auto" w:frame="1"/>
        </w:rPr>
        <w:t xml:space="preserve"> So far this year, more than 61,000 personal income tax returns have been flagged for review. For comparison, the department flagged 31,336 in 2016, 8,521 in 2015 and 1,132 in 2014. </w:t>
      </w:r>
      <w:r w:rsidR="00C10971">
        <w:rPr>
          <w:rFonts w:ascii="Verdana" w:hAnsi="Verdana"/>
          <w:color w:val="000000"/>
          <w:sz w:val="20"/>
          <w:szCs w:val="20"/>
          <w:bdr w:val="none" w:sz="0" w:space="0" w:color="auto" w:frame="1"/>
        </w:rPr>
        <w:t xml:space="preserve">Established in 2016, the Fraud investigation Unit has partnered with state and federal tax administrators to address the rise in fraudulent tax returns filed by scammers. Armed with new analytical tools provided by the re-negotiated software contract, the unit also helped the department strengthen its automated fraud filters, which intercept fraudulent and erroneous returns. These filings mainly contain overstated expenses and incorrectly reported wages. In addition to those savings, the department now has the capability to deploy identity verification quizzes that assist taxpayers in confirming their identities online. </w:t>
      </w:r>
    </w:p>
    <w:p w:rsidR="00C10971" w:rsidRDefault="00C10971" w:rsidP="00720FE5">
      <w:pPr>
        <w:pStyle w:val="NoSpacing"/>
        <w:rPr>
          <w:rFonts w:ascii="Verdana" w:hAnsi="Verdana"/>
          <w:b/>
          <w:caps/>
          <w:sz w:val="22"/>
          <w:szCs w:val="20"/>
          <w:u w:val="thick"/>
        </w:rPr>
      </w:pPr>
    </w:p>
    <w:p w:rsidR="00720FE5" w:rsidRPr="00720FE5" w:rsidRDefault="00720FE5" w:rsidP="00720FE5">
      <w:pPr>
        <w:pStyle w:val="NoSpacing"/>
        <w:rPr>
          <w:rFonts w:ascii="Verdana" w:hAnsi="Verdana"/>
          <w:b/>
          <w:caps/>
          <w:sz w:val="22"/>
          <w:szCs w:val="20"/>
          <w:u w:val="thick"/>
        </w:rPr>
      </w:pPr>
      <w:r w:rsidRPr="00720FE5">
        <w:rPr>
          <w:rFonts w:ascii="Verdana" w:hAnsi="Verdana"/>
          <w:b/>
          <w:caps/>
          <w:sz w:val="22"/>
          <w:szCs w:val="20"/>
          <w:u w:val="thick"/>
        </w:rPr>
        <w:t>Effort to send severance tax legislation back to committee fails</w:t>
      </w:r>
    </w:p>
    <w:p w:rsidR="00720FE5" w:rsidRPr="00720FE5" w:rsidRDefault="00720FE5" w:rsidP="00720FE5">
      <w:pPr>
        <w:pStyle w:val="NoSpacing"/>
        <w:rPr>
          <w:rFonts w:ascii="Verdana" w:eastAsia="Verdana" w:hAnsi="Verdana" w:cs="Verdana"/>
          <w:bCs/>
          <w:spacing w:val="1"/>
          <w:position w:val="-1"/>
          <w:sz w:val="20"/>
        </w:rPr>
      </w:pPr>
      <w:r w:rsidRPr="00720FE5">
        <w:rPr>
          <w:rFonts w:ascii="Verdana" w:hAnsi="Verdana"/>
          <w:color w:val="000000"/>
          <w:sz w:val="20"/>
          <w:szCs w:val="20"/>
          <w:bdr w:val="none" w:sz="0" w:space="0" w:color="auto" w:frame="1"/>
        </w:rPr>
        <w:t>In a move some were hoping would keep the issue from additional floor debate for some time, a motion in the Pennsylvania House of Representatives Monday attempted, but ultimately failed, to send a highly contentious natural gas severance tax bill back to committee.</w:t>
      </w:r>
      <w:r>
        <w:rPr>
          <w:rFonts w:ascii="Verdana" w:hAnsi="Verdana"/>
          <w:sz w:val="20"/>
          <w:szCs w:val="20"/>
        </w:rPr>
        <w:t xml:space="preserve"> </w:t>
      </w:r>
      <w:r w:rsidRPr="00720FE5">
        <w:rPr>
          <w:rFonts w:ascii="Verdana" w:hAnsi="Verdana"/>
          <w:color w:val="000000"/>
          <w:sz w:val="20"/>
          <w:szCs w:val="20"/>
          <w:bdr w:val="none" w:sz="0" w:space="0" w:color="auto" w:frame="1"/>
        </w:rPr>
        <w:t>The legislation had already received two days of pre-Thanksgiving debate as lawmakers try to wade through the nearly 400 amendments filed to the bill. In those two days, the legislature successfully adopted seven changes to the bill while seven proposed changes were defeated.</w:t>
      </w:r>
      <w:r>
        <w:rPr>
          <w:rFonts w:ascii="Verdana" w:hAnsi="Verdana"/>
          <w:sz w:val="20"/>
          <w:szCs w:val="20"/>
        </w:rPr>
        <w:t xml:space="preserve"> </w:t>
      </w:r>
      <w:r w:rsidRPr="00720FE5">
        <w:rPr>
          <w:rFonts w:ascii="Verdana" w:hAnsi="Verdana"/>
          <w:color w:val="000000"/>
          <w:sz w:val="20"/>
          <w:szCs w:val="20"/>
          <w:bdr w:val="none" w:sz="0" w:space="0" w:color="auto" w:frame="1"/>
        </w:rPr>
        <w:t xml:space="preserve">It was the fact that many amendments still remain proposed to the legislation, along with the pace at which the General Assembly is considering the </w:t>
      </w:r>
      <w:proofErr w:type="gramStart"/>
      <w:r w:rsidRPr="00720FE5">
        <w:rPr>
          <w:rFonts w:ascii="Verdana" w:hAnsi="Verdana"/>
          <w:color w:val="000000"/>
          <w:sz w:val="20"/>
          <w:szCs w:val="20"/>
          <w:bdr w:val="none" w:sz="0" w:space="0" w:color="auto" w:frame="1"/>
        </w:rPr>
        <w:t>legislation, that</w:t>
      </w:r>
      <w:proofErr w:type="gramEnd"/>
      <w:r w:rsidRPr="00720FE5">
        <w:rPr>
          <w:rFonts w:ascii="Verdana" w:hAnsi="Verdana"/>
          <w:color w:val="000000"/>
          <w:sz w:val="20"/>
          <w:szCs w:val="20"/>
          <w:bdr w:val="none" w:sz="0" w:space="0" w:color="auto" w:frame="1"/>
        </w:rPr>
        <w:t xml:space="preserve"> fueled the reasoning of some of the members present at Monday’s voting session who hoped to send the bill back to committee.</w:t>
      </w:r>
      <w:r>
        <w:rPr>
          <w:rFonts w:ascii="Verdana" w:hAnsi="Verdana"/>
          <w:sz w:val="20"/>
          <w:szCs w:val="20"/>
        </w:rPr>
        <w:t xml:space="preserve"> </w:t>
      </w:r>
      <w:r>
        <w:rPr>
          <w:rFonts w:ascii="Verdana" w:hAnsi="Verdana"/>
          <w:color w:val="000000"/>
          <w:sz w:val="20"/>
          <w:szCs w:val="20"/>
          <w:bdr w:val="none" w:sz="0" w:space="0" w:color="auto" w:frame="1"/>
        </w:rPr>
        <w:t>Some representatives</w:t>
      </w:r>
      <w:r w:rsidRPr="00720FE5">
        <w:rPr>
          <w:rFonts w:ascii="Verdana" w:hAnsi="Verdana"/>
          <w:color w:val="000000"/>
          <w:sz w:val="20"/>
          <w:szCs w:val="20"/>
          <w:bdr w:val="none" w:sz="0" w:space="0" w:color="auto" w:frame="1"/>
        </w:rPr>
        <w:t xml:space="preserve"> noted that the referral to the House Environmental Resources and Energy Committee—an oversight committee where various severance tax proposals have languished—would result in the likely demise of the proposal.</w:t>
      </w:r>
      <w:r>
        <w:rPr>
          <w:rFonts w:ascii="Verdana" w:hAnsi="Verdana"/>
          <w:sz w:val="20"/>
          <w:szCs w:val="20"/>
        </w:rPr>
        <w:t xml:space="preserve"> </w:t>
      </w:r>
      <w:r w:rsidRPr="00720FE5">
        <w:rPr>
          <w:rFonts w:ascii="Verdana" w:hAnsi="Verdana"/>
          <w:color w:val="000000"/>
          <w:sz w:val="20"/>
          <w:szCs w:val="20"/>
          <w:bdr w:val="none" w:sz="0" w:space="0" w:color="auto" w:frame="1"/>
        </w:rPr>
        <w:t>Ultimately, the supporters of the legislation’s continued consideration by the entire House prevailed in the vote by a 94-93 margin.</w:t>
      </w:r>
      <w:r>
        <w:rPr>
          <w:rFonts w:ascii="Verdana" w:hAnsi="Verdana"/>
          <w:sz w:val="20"/>
          <w:szCs w:val="20"/>
        </w:rPr>
        <w:t xml:space="preserve">  </w:t>
      </w:r>
      <w:r w:rsidRPr="00720FE5">
        <w:rPr>
          <w:rFonts w:ascii="Verdana" w:hAnsi="Verdana"/>
          <w:color w:val="000000"/>
          <w:sz w:val="20"/>
          <w:szCs w:val="20"/>
          <w:bdr w:val="none" w:sz="0" w:space="0" w:color="auto" w:frame="1"/>
        </w:rPr>
        <w:t>As the legislation currently sits, the proposal sponsored by Rep. Gene DiGirolamo (R-Bucks) implements a volumetric tax based on the price of gas with the amount of the tax increasing as the price of gas increases. It also includes a proposal that provides for a change in natural gas minimum royalty payments.</w:t>
      </w:r>
      <w:r>
        <w:rPr>
          <w:rFonts w:ascii="Verdana" w:hAnsi="Verdana"/>
          <w:sz w:val="20"/>
          <w:szCs w:val="20"/>
        </w:rPr>
        <w:t xml:space="preserve"> </w:t>
      </w:r>
      <w:r w:rsidRPr="00720FE5">
        <w:rPr>
          <w:rFonts w:ascii="Verdana" w:hAnsi="Verdana"/>
          <w:color w:val="000000"/>
          <w:sz w:val="20"/>
          <w:szCs w:val="20"/>
          <w:bdr w:val="none" w:sz="0" w:space="0" w:color="auto" w:frame="1"/>
        </w:rPr>
        <w:t xml:space="preserve">For a full fiscal year, the tax is anticipated to bring in between $150 million and $200 million. </w:t>
      </w:r>
    </w:p>
    <w:p w:rsidR="00CF6C03" w:rsidRPr="009D5841" w:rsidRDefault="00BA01E5" w:rsidP="000B5C0C">
      <w:pPr>
        <w:pStyle w:val="NoSpacing"/>
        <w:rPr>
          <w:rFonts w:ascii="Verdana" w:hAnsi="Verdana"/>
          <w:sz w:val="20"/>
          <w:szCs w:val="20"/>
        </w:rPr>
      </w:pPr>
      <w:r w:rsidRPr="000D15C3">
        <w:rPr>
          <w:rFonts w:ascii="Verdana" w:eastAsia="Verdana" w:hAnsi="Verdana" w:cs="Verdana"/>
          <w:b/>
          <w:bCs/>
          <w:spacing w:val="1"/>
          <w:position w:val="-1"/>
          <w:sz w:val="22"/>
          <w:u w:val="thick" w:color="000000"/>
        </w:rPr>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rsidR="00D34264" w:rsidRPr="00C10971" w:rsidRDefault="00D34264" w:rsidP="00D34264">
      <w:pPr>
        <w:pStyle w:val="NoSpacing"/>
        <w:spacing w:before="0" w:beforeAutospacing="0" w:after="0" w:afterAutospacing="0"/>
        <w:rPr>
          <w:rFonts w:ascii="Verdana" w:hAnsi="Verdana"/>
          <w:b/>
          <w:bCs/>
          <w:sz w:val="19"/>
          <w:szCs w:val="19"/>
        </w:rPr>
      </w:pPr>
      <w:r w:rsidRPr="00C10971">
        <w:rPr>
          <w:rFonts w:ascii="Verdana" w:hAnsi="Verdana"/>
          <w:b/>
          <w:bCs/>
          <w:sz w:val="19"/>
          <w:szCs w:val="19"/>
        </w:rPr>
        <w:t>2017</w:t>
      </w:r>
      <w:r w:rsidR="009F4555" w:rsidRPr="00C10971">
        <w:rPr>
          <w:rFonts w:ascii="Verdana" w:hAnsi="Verdana"/>
          <w:b/>
          <w:bCs/>
          <w:sz w:val="19"/>
          <w:szCs w:val="19"/>
        </w:rPr>
        <w:t>/18</w:t>
      </w:r>
      <w:r w:rsidRPr="00C10971">
        <w:rPr>
          <w:rFonts w:ascii="Verdana" w:hAnsi="Verdana"/>
          <w:b/>
          <w:bCs/>
          <w:sz w:val="19"/>
          <w:szCs w:val="19"/>
        </w:rPr>
        <w:t xml:space="preserve"> SENATE SESSION SCHEDULE</w:t>
      </w:r>
    </w:p>
    <w:p w:rsidR="00A42BD2" w:rsidRPr="00C10971" w:rsidRDefault="00A42BD2" w:rsidP="00D34264">
      <w:pPr>
        <w:pStyle w:val="NoSpacing"/>
        <w:spacing w:before="0" w:beforeAutospacing="0" w:after="0" w:afterAutospacing="0"/>
        <w:rPr>
          <w:rFonts w:ascii="Verdana" w:hAnsi="Verdana"/>
          <w:b/>
          <w:sz w:val="19"/>
          <w:szCs w:val="19"/>
        </w:rPr>
      </w:pPr>
    </w:p>
    <w:p w:rsidR="004523AB" w:rsidRPr="00ED2027" w:rsidRDefault="00CF6C03" w:rsidP="004523AB">
      <w:pPr>
        <w:pStyle w:val="NoSpacing"/>
        <w:spacing w:before="0" w:beforeAutospacing="0" w:after="0" w:afterAutospacing="0" w:line="275" w:lineRule="atLeast"/>
        <w:rPr>
          <w:rFonts w:ascii="Verdana" w:hAnsi="Verdana"/>
          <w:bCs/>
          <w:color w:val="000000"/>
          <w:sz w:val="20"/>
          <w:szCs w:val="19"/>
        </w:rPr>
      </w:pPr>
      <w:r w:rsidRPr="00ED2027">
        <w:rPr>
          <w:rFonts w:ascii="Verdana" w:hAnsi="Verdana"/>
          <w:bCs/>
          <w:color w:val="000000"/>
          <w:sz w:val="20"/>
          <w:szCs w:val="19"/>
        </w:rPr>
        <w:t>December       11, 12, 13</w:t>
      </w:r>
    </w:p>
    <w:p w:rsidR="009F4555" w:rsidRPr="00ED2027" w:rsidRDefault="009F4555" w:rsidP="009F4555">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January           2, 22, 23, 24, 29, 30, 31</w:t>
      </w:r>
    </w:p>
    <w:p w:rsidR="009F4555" w:rsidRPr="00ED2027" w:rsidRDefault="009F4555" w:rsidP="009F4555">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February         5, 6, 7</w:t>
      </w:r>
    </w:p>
    <w:p w:rsidR="009F4555" w:rsidRPr="00ED2027" w:rsidRDefault="009F4555" w:rsidP="009F4555">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March             19, 20, 21, 26, 27, 28</w:t>
      </w:r>
    </w:p>
    <w:p w:rsidR="009F4555" w:rsidRPr="00ED2027" w:rsidRDefault="009F4555" w:rsidP="009F4555">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April               16, 17, 18, 23, 24, 25, 30</w:t>
      </w:r>
    </w:p>
    <w:p w:rsidR="009F4555" w:rsidRPr="00ED2027" w:rsidRDefault="009F4555" w:rsidP="009F4555">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May                1, 2, 21, 22, 23</w:t>
      </w:r>
    </w:p>
    <w:p w:rsidR="009F4555" w:rsidRPr="00ED2027" w:rsidRDefault="009F4555" w:rsidP="009F4555">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June               4, 5, 6, 11, 12, 13, 18, 19, 20, 25, 26, 27, 28, 29</w:t>
      </w:r>
    </w:p>
    <w:p w:rsidR="00436492" w:rsidRPr="00ED2027" w:rsidRDefault="00436492" w:rsidP="004523AB">
      <w:pPr>
        <w:pStyle w:val="NoSpacing"/>
        <w:spacing w:before="0" w:beforeAutospacing="0" w:after="0" w:afterAutospacing="0" w:line="275" w:lineRule="atLeast"/>
        <w:rPr>
          <w:rFonts w:ascii="Verdana" w:hAnsi="Verdana"/>
          <w:b/>
          <w:sz w:val="20"/>
          <w:szCs w:val="19"/>
        </w:rPr>
      </w:pPr>
    </w:p>
    <w:p w:rsidR="00B7758B" w:rsidRPr="00ED2027" w:rsidRDefault="004A61A3" w:rsidP="004523AB">
      <w:pPr>
        <w:pStyle w:val="NoSpacing"/>
        <w:spacing w:before="0" w:beforeAutospacing="0" w:after="0" w:afterAutospacing="0" w:line="275" w:lineRule="atLeast"/>
        <w:rPr>
          <w:rFonts w:ascii="Verdana" w:hAnsi="Verdana"/>
          <w:bCs/>
          <w:color w:val="000000"/>
          <w:sz w:val="20"/>
          <w:szCs w:val="19"/>
        </w:rPr>
      </w:pPr>
      <w:r w:rsidRPr="00ED2027">
        <w:rPr>
          <w:rFonts w:ascii="Verdana" w:hAnsi="Verdana"/>
          <w:b/>
          <w:sz w:val="20"/>
          <w:szCs w:val="19"/>
        </w:rPr>
        <w:t>2017</w:t>
      </w:r>
      <w:r w:rsidR="00E25B97" w:rsidRPr="00ED2027">
        <w:rPr>
          <w:rFonts w:ascii="Verdana" w:hAnsi="Verdana"/>
          <w:b/>
          <w:sz w:val="20"/>
          <w:szCs w:val="19"/>
        </w:rPr>
        <w:t>/18</w:t>
      </w:r>
      <w:r w:rsidR="00B7758B" w:rsidRPr="00ED2027">
        <w:rPr>
          <w:rFonts w:ascii="Verdana" w:hAnsi="Verdana"/>
          <w:b/>
          <w:sz w:val="20"/>
          <w:szCs w:val="19"/>
        </w:rPr>
        <w:t xml:space="preserve"> HOUSE SESSION SCHEDULE</w:t>
      </w:r>
    </w:p>
    <w:p w:rsidR="00CF6C03" w:rsidRPr="00ED2027" w:rsidRDefault="00CF6C03" w:rsidP="00B7758B">
      <w:pPr>
        <w:pStyle w:val="NoSpacing"/>
        <w:spacing w:before="0" w:beforeAutospacing="0" w:after="0" w:afterAutospacing="0"/>
        <w:rPr>
          <w:rFonts w:ascii="Verdana" w:hAnsi="Verdana"/>
          <w:b/>
          <w:sz w:val="20"/>
          <w:szCs w:val="19"/>
        </w:rPr>
      </w:pPr>
    </w:p>
    <w:p w:rsidR="00CF6C03" w:rsidRPr="00ED2027" w:rsidRDefault="00C16C72" w:rsidP="00CF6C03">
      <w:pPr>
        <w:pStyle w:val="NoSpacing"/>
        <w:spacing w:before="0" w:beforeAutospacing="0" w:after="0" w:afterAutospacing="0" w:line="275" w:lineRule="atLeast"/>
        <w:rPr>
          <w:rFonts w:ascii="Verdana" w:hAnsi="Verdana"/>
          <w:color w:val="000000"/>
          <w:sz w:val="20"/>
          <w:szCs w:val="19"/>
        </w:rPr>
      </w:pPr>
      <w:r w:rsidRPr="00ED2027">
        <w:rPr>
          <w:rFonts w:ascii="Verdana" w:hAnsi="Verdana"/>
          <w:color w:val="000000"/>
          <w:sz w:val="20"/>
          <w:szCs w:val="19"/>
        </w:rPr>
        <w:t>December       </w:t>
      </w:r>
      <w:r w:rsidR="00CF6C03" w:rsidRPr="00ED2027">
        <w:rPr>
          <w:rFonts w:ascii="Verdana" w:hAnsi="Verdana"/>
          <w:color w:val="000000"/>
          <w:sz w:val="20"/>
          <w:szCs w:val="19"/>
        </w:rPr>
        <w:t>4, 5, 6, 11, 12, 13</w:t>
      </w:r>
    </w:p>
    <w:p w:rsidR="00E25B97" w:rsidRPr="00ED2027" w:rsidRDefault="00E25B97" w:rsidP="00E25B97">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January          2 (non-voting), 22, 23, 24</w:t>
      </w:r>
    </w:p>
    <w:p w:rsidR="00E25B97" w:rsidRPr="00ED2027" w:rsidRDefault="00E25B97" w:rsidP="00E25B97">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February         5, 6, 7</w:t>
      </w:r>
    </w:p>
    <w:p w:rsidR="00E25B97" w:rsidRPr="00ED2027" w:rsidRDefault="00E25B97" w:rsidP="00E25B97">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March             12, 13, 14 </w:t>
      </w:r>
    </w:p>
    <w:p w:rsidR="00E25B97" w:rsidRPr="00ED2027" w:rsidRDefault="00E25B97" w:rsidP="00E25B97">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April               9, 10, 11, 16, 17, 18, 30</w:t>
      </w:r>
    </w:p>
    <w:p w:rsidR="00E25B97" w:rsidRPr="00ED2027" w:rsidRDefault="00E25B97" w:rsidP="00E25B97">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May                1, 2, 22, 23</w:t>
      </w:r>
    </w:p>
    <w:p w:rsidR="00E25B97" w:rsidRPr="00ED2027" w:rsidRDefault="00E25B97" w:rsidP="00E25B97">
      <w:pPr>
        <w:pStyle w:val="NoSpacing"/>
        <w:spacing w:before="0" w:beforeAutospacing="0" w:after="0" w:afterAutospacing="0" w:line="275" w:lineRule="atLeast"/>
        <w:rPr>
          <w:rFonts w:ascii="Verdana" w:hAnsi="Verdana"/>
          <w:color w:val="000000"/>
          <w:sz w:val="20"/>
          <w:szCs w:val="19"/>
        </w:rPr>
      </w:pPr>
      <w:r w:rsidRPr="00ED2027">
        <w:rPr>
          <w:rFonts w:ascii="Verdana" w:hAnsi="Verdana"/>
          <w:bCs/>
          <w:color w:val="000000"/>
          <w:sz w:val="20"/>
          <w:szCs w:val="19"/>
        </w:rPr>
        <w:t>June                4, 5, 6, 11, 12, 13, 18, 19, 20, 21, 25, 26, 27, 28, 29, 30</w:t>
      </w:r>
    </w:p>
    <w:p w:rsidR="00D727FE" w:rsidRDefault="00D727FE" w:rsidP="009278C1">
      <w:pPr>
        <w:spacing w:after="0" w:line="240" w:lineRule="auto"/>
        <w:rPr>
          <w:rFonts w:ascii="Verdana" w:eastAsia="Verdana" w:hAnsi="Verdana" w:cs="Verdana"/>
          <w:b/>
          <w:bCs/>
          <w:position w:val="-2"/>
          <w:u w:val="thick" w:color="000000"/>
        </w:rPr>
      </w:pPr>
    </w:p>
    <w:p w:rsidR="00BD47A5" w:rsidRPr="000B5C0C"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0B5C0C" w:rsidRDefault="000B5C0C" w:rsidP="000B5C0C">
      <w:pPr>
        <w:pStyle w:val="NoSpacing"/>
        <w:spacing w:before="0" w:beforeAutospacing="0" w:after="0" w:afterAutospacing="0"/>
        <w:rPr>
          <w:b/>
          <w:shd w:val="clear" w:color="auto" w:fill="FFFFFF"/>
        </w:rPr>
      </w:pPr>
      <w:r w:rsidRPr="000B5C0C">
        <w:rPr>
          <w:b/>
          <w:shd w:val="clear" w:color="auto" w:fill="FFFFFF"/>
        </w:rPr>
        <w:t> </w:t>
      </w:r>
    </w:p>
    <w:p w:rsidR="000B5C0C" w:rsidRPr="00C10971" w:rsidRDefault="000B5C0C" w:rsidP="000B5C0C">
      <w:pPr>
        <w:pStyle w:val="NoSpacing"/>
        <w:spacing w:before="0" w:beforeAutospacing="0" w:after="0" w:afterAutospacing="0"/>
        <w:rPr>
          <w:rFonts w:ascii="Verdana" w:hAnsi="Verdana"/>
          <w:b/>
          <w:sz w:val="19"/>
          <w:szCs w:val="19"/>
        </w:rPr>
      </w:pPr>
      <w:r w:rsidRPr="00C10971">
        <w:rPr>
          <w:rFonts w:ascii="Verdana" w:hAnsi="Verdana"/>
          <w:b/>
          <w:bCs/>
          <w:sz w:val="19"/>
          <w:szCs w:val="19"/>
          <w:shd w:val="clear" w:color="auto" w:fill="FFFFFF"/>
        </w:rPr>
        <w:t>House Finance</w:t>
      </w:r>
      <w:r w:rsidRPr="00C10971">
        <w:rPr>
          <w:rFonts w:ascii="Verdana" w:hAnsi="Verdana"/>
          <w:b/>
          <w:sz w:val="19"/>
          <w:szCs w:val="19"/>
          <w:shd w:val="clear" w:color="auto" w:fill="FFFFFF"/>
        </w:rPr>
        <w:t> (PUBLIC HEARING)  </w:t>
      </w:r>
      <w:r w:rsidRPr="00C10971">
        <w:rPr>
          <w:rFonts w:ascii="Verdana" w:hAnsi="Verdana"/>
          <w:b/>
          <w:color w:val="BB0000"/>
          <w:sz w:val="19"/>
          <w:szCs w:val="19"/>
          <w:shd w:val="clear" w:color="auto" w:fill="FFFFFF"/>
        </w:rPr>
        <w:t>  </w:t>
      </w:r>
      <w:r w:rsidRPr="00C10971">
        <w:rPr>
          <w:rFonts w:ascii="Verdana" w:hAnsi="Verdana"/>
          <w:b/>
          <w:sz w:val="19"/>
          <w:szCs w:val="19"/>
        </w:rPr>
        <w:br/>
      </w:r>
      <w:r w:rsidRPr="00C10971">
        <w:rPr>
          <w:rFonts w:ascii="Verdana" w:hAnsi="Verdana"/>
          <w:b/>
          <w:sz w:val="19"/>
          <w:szCs w:val="19"/>
          <w:shd w:val="clear" w:color="auto" w:fill="FFFFFF"/>
        </w:rPr>
        <w:t>TUESDAY - 12/12/17</w:t>
      </w:r>
      <w:r w:rsidRPr="00C10971">
        <w:rPr>
          <w:rFonts w:ascii="Verdana" w:hAnsi="Verdana"/>
          <w:b/>
          <w:sz w:val="19"/>
          <w:szCs w:val="19"/>
        </w:rPr>
        <w:br/>
      </w:r>
      <w:r w:rsidRPr="00C10971">
        <w:rPr>
          <w:rFonts w:ascii="Verdana" w:hAnsi="Verdana"/>
          <w:b/>
          <w:sz w:val="19"/>
          <w:szCs w:val="19"/>
          <w:shd w:val="clear" w:color="auto" w:fill="FFFFFF"/>
        </w:rPr>
        <w:t>9:00 a.m., Room 205, Ryan Office Building</w:t>
      </w:r>
    </w:p>
    <w:tbl>
      <w:tblPr>
        <w:tblW w:w="5000" w:type="pct"/>
        <w:tblCellSpacing w:w="15" w:type="dxa"/>
        <w:shd w:val="clear" w:color="auto" w:fill="FFFFFF"/>
        <w:tblCellMar>
          <w:top w:w="15" w:type="dxa"/>
          <w:left w:w="15" w:type="dxa"/>
          <w:bottom w:w="15" w:type="dxa"/>
          <w:right w:w="15" w:type="dxa"/>
        </w:tblCellMar>
        <w:tblLook w:val="04A0"/>
      </w:tblPr>
      <w:tblGrid>
        <w:gridCol w:w="270"/>
        <w:gridCol w:w="10800"/>
      </w:tblGrid>
      <w:tr w:rsidR="000B5C0C" w:rsidRPr="00C10971" w:rsidTr="000B5C0C">
        <w:trPr>
          <w:tblCellSpacing w:w="15" w:type="dxa"/>
        </w:trPr>
        <w:tc>
          <w:tcPr>
            <w:tcW w:w="225" w:type="dxa"/>
            <w:shd w:val="clear" w:color="auto" w:fill="FFFFFF"/>
            <w:vAlign w:val="center"/>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 </w:t>
            </w:r>
          </w:p>
        </w:tc>
        <w:tc>
          <w:tcPr>
            <w:tcW w:w="0" w:type="auto"/>
            <w:shd w:val="clear" w:color="auto" w:fill="FFFFFF"/>
            <w:vAlign w:val="center"/>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Public hearing on Department of Revenue collection practices and:</w:t>
            </w:r>
          </w:p>
          <w:tbl>
            <w:tblPr>
              <w:tblW w:w="4500" w:type="pct"/>
              <w:tblCellSpacing w:w="15" w:type="dxa"/>
              <w:tblCellMar>
                <w:left w:w="0" w:type="dxa"/>
                <w:right w:w="0" w:type="dxa"/>
              </w:tblCellMar>
              <w:tblLook w:val="04A0"/>
            </w:tblPr>
            <w:tblGrid>
              <w:gridCol w:w="270"/>
              <w:gridCol w:w="1380"/>
              <w:gridCol w:w="2580"/>
              <w:gridCol w:w="5423"/>
            </w:tblGrid>
            <w:tr w:rsidR="000B5C0C" w:rsidRPr="00C10971">
              <w:trPr>
                <w:tblCellSpacing w:w="15" w:type="dxa"/>
              </w:trPr>
              <w:tc>
                <w:tcPr>
                  <w:tcW w:w="225" w:type="dxa"/>
                  <w:hideMark/>
                </w:tcPr>
                <w:p w:rsidR="000B5C0C" w:rsidRPr="00C10971" w:rsidRDefault="000B5C0C" w:rsidP="000B5C0C">
                  <w:pPr>
                    <w:pStyle w:val="NoSpacing"/>
                    <w:spacing w:before="0" w:beforeAutospacing="0" w:after="0" w:afterAutospacing="0"/>
                    <w:rPr>
                      <w:rFonts w:ascii="Verdana" w:hAnsi="Verdana"/>
                      <w:sz w:val="19"/>
                      <w:szCs w:val="19"/>
                    </w:rPr>
                  </w:pPr>
                </w:p>
              </w:tc>
              <w:tc>
                <w:tcPr>
                  <w:tcW w:w="1350" w:type="dxa"/>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HB 1859  </w:t>
                  </w:r>
                </w:p>
              </w:tc>
              <w:tc>
                <w:tcPr>
                  <w:tcW w:w="2550" w:type="dxa"/>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Snyder, Pam</w:t>
                  </w:r>
                </w:p>
              </w:tc>
              <w:tc>
                <w:tcPr>
                  <w:tcW w:w="0" w:type="auto"/>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Amends the Tax Reform Code, in personal income tax, further providing for payment on notice and demand.</w:t>
                  </w:r>
                </w:p>
              </w:tc>
            </w:tr>
          </w:tbl>
          <w:p w:rsidR="000B5C0C" w:rsidRPr="00C10971" w:rsidRDefault="000B5C0C" w:rsidP="000B5C0C">
            <w:pPr>
              <w:pStyle w:val="NoSpacing"/>
              <w:spacing w:before="0" w:beforeAutospacing="0" w:after="0" w:afterAutospacing="0"/>
              <w:rPr>
                <w:rFonts w:ascii="Verdana" w:hAnsi="Verdana"/>
                <w:vanish/>
                <w:sz w:val="19"/>
                <w:szCs w:val="19"/>
              </w:rPr>
            </w:pPr>
          </w:p>
          <w:p w:rsidR="000B5C0C" w:rsidRPr="00C10971" w:rsidRDefault="000B5C0C" w:rsidP="000B5C0C">
            <w:pPr>
              <w:pStyle w:val="NoSpacing"/>
              <w:spacing w:before="0" w:beforeAutospacing="0" w:after="0" w:afterAutospacing="0"/>
              <w:rPr>
                <w:rFonts w:ascii="Verdana" w:hAnsi="Verdana"/>
                <w:vanish/>
                <w:sz w:val="19"/>
                <w:szCs w:val="19"/>
              </w:rPr>
            </w:pPr>
          </w:p>
          <w:tbl>
            <w:tblPr>
              <w:tblW w:w="4500" w:type="pct"/>
              <w:tblCellSpacing w:w="15" w:type="dxa"/>
              <w:tblCellMar>
                <w:left w:w="0" w:type="dxa"/>
                <w:right w:w="0" w:type="dxa"/>
              </w:tblCellMar>
              <w:tblLook w:val="04A0"/>
            </w:tblPr>
            <w:tblGrid>
              <w:gridCol w:w="270"/>
              <w:gridCol w:w="1380"/>
              <w:gridCol w:w="2580"/>
              <w:gridCol w:w="5423"/>
            </w:tblGrid>
            <w:tr w:rsidR="000B5C0C" w:rsidRPr="00C10971">
              <w:trPr>
                <w:tblCellSpacing w:w="15" w:type="dxa"/>
              </w:trPr>
              <w:tc>
                <w:tcPr>
                  <w:tcW w:w="225" w:type="dxa"/>
                  <w:hideMark/>
                </w:tcPr>
                <w:p w:rsidR="000B5C0C" w:rsidRPr="00C10971" w:rsidRDefault="000B5C0C" w:rsidP="000B5C0C">
                  <w:pPr>
                    <w:pStyle w:val="NoSpacing"/>
                    <w:spacing w:before="0" w:beforeAutospacing="0" w:after="0" w:afterAutospacing="0"/>
                    <w:rPr>
                      <w:rFonts w:ascii="Verdana" w:hAnsi="Verdana"/>
                      <w:sz w:val="19"/>
                      <w:szCs w:val="19"/>
                    </w:rPr>
                  </w:pPr>
                </w:p>
              </w:tc>
              <w:tc>
                <w:tcPr>
                  <w:tcW w:w="1350" w:type="dxa"/>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HB 1867  </w:t>
                  </w:r>
                </w:p>
              </w:tc>
              <w:tc>
                <w:tcPr>
                  <w:tcW w:w="2550" w:type="dxa"/>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Zimmerman, David</w:t>
                  </w:r>
                </w:p>
              </w:tc>
              <w:tc>
                <w:tcPr>
                  <w:tcW w:w="0" w:type="auto"/>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Amends the Tax Reform Code, in personal income tax, further providing for examination.</w:t>
                  </w:r>
                </w:p>
              </w:tc>
            </w:tr>
          </w:tbl>
          <w:p w:rsidR="000B5C0C" w:rsidRPr="00C10971" w:rsidRDefault="000B5C0C" w:rsidP="000B5C0C">
            <w:pPr>
              <w:pStyle w:val="NoSpacing"/>
              <w:spacing w:before="0" w:beforeAutospacing="0" w:after="0" w:afterAutospacing="0"/>
              <w:rPr>
                <w:rFonts w:ascii="Verdana" w:hAnsi="Verdana"/>
                <w:sz w:val="19"/>
                <w:szCs w:val="19"/>
              </w:rPr>
            </w:pPr>
          </w:p>
        </w:tc>
      </w:tr>
    </w:tbl>
    <w:p w:rsidR="004542C9" w:rsidRPr="00C10971" w:rsidRDefault="004542C9" w:rsidP="000B5C0C">
      <w:pPr>
        <w:spacing w:after="0" w:line="240" w:lineRule="auto"/>
        <w:rPr>
          <w:rFonts w:ascii="Verdana" w:eastAsia="Verdana" w:hAnsi="Verdana" w:cs="Verdana"/>
          <w:b/>
          <w:bCs/>
          <w:position w:val="-2"/>
          <w:sz w:val="19"/>
          <w:szCs w:val="19"/>
          <w:u w:val="thick" w:color="000000"/>
        </w:rPr>
      </w:pPr>
    </w:p>
    <w:p w:rsidR="000B5C0C" w:rsidRPr="00C10971" w:rsidRDefault="000B5C0C" w:rsidP="000B5C0C">
      <w:pPr>
        <w:pStyle w:val="NoSpacing"/>
        <w:spacing w:before="0" w:beforeAutospacing="0" w:after="0" w:afterAutospacing="0"/>
        <w:rPr>
          <w:rFonts w:ascii="Verdana" w:hAnsi="Verdana"/>
          <w:b/>
          <w:sz w:val="19"/>
          <w:szCs w:val="19"/>
        </w:rPr>
      </w:pPr>
      <w:r w:rsidRPr="00C10971">
        <w:rPr>
          <w:sz w:val="19"/>
          <w:szCs w:val="19"/>
          <w:shd w:val="clear" w:color="auto" w:fill="FFFFFF"/>
        </w:rPr>
        <w:t> </w:t>
      </w:r>
      <w:r w:rsidRPr="00C10971">
        <w:rPr>
          <w:rFonts w:ascii="Verdana" w:hAnsi="Verdana"/>
          <w:b/>
          <w:bCs/>
          <w:sz w:val="19"/>
          <w:szCs w:val="19"/>
          <w:shd w:val="clear" w:color="auto" w:fill="FFFFFF"/>
        </w:rPr>
        <w:t>House Urban Affairs</w:t>
      </w:r>
      <w:r w:rsidRPr="00C10971">
        <w:rPr>
          <w:rFonts w:ascii="Verdana" w:hAnsi="Verdana"/>
          <w:sz w:val="19"/>
          <w:szCs w:val="19"/>
          <w:shd w:val="clear" w:color="auto" w:fill="FFFFFF"/>
        </w:rPr>
        <w:t>    </w:t>
      </w:r>
      <w:r w:rsidRPr="00C10971">
        <w:rPr>
          <w:rFonts w:ascii="Verdana" w:hAnsi="Verdana"/>
          <w:color w:val="BB0000"/>
          <w:sz w:val="19"/>
          <w:szCs w:val="19"/>
          <w:shd w:val="clear" w:color="auto" w:fill="FFFFFF"/>
        </w:rPr>
        <w:t>  </w:t>
      </w:r>
      <w:r w:rsidRPr="00C10971">
        <w:rPr>
          <w:rFonts w:ascii="Verdana" w:hAnsi="Verdana"/>
          <w:sz w:val="19"/>
          <w:szCs w:val="19"/>
        </w:rPr>
        <w:br/>
      </w:r>
      <w:r w:rsidRPr="00C10971">
        <w:rPr>
          <w:rFonts w:ascii="Verdana" w:hAnsi="Verdana"/>
          <w:b/>
          <w:sz w:val="19"/>
          <w:szCs w:val="19"/>
          <w:shd w:val="clear" w:color="auto" w:fill="FFFFFF"/>
        </w:rPr>
        <w:t>TUESDAY - 12/12/17</w:t>
      </w:r>
      <w:r w:rsidRPr="00C10971">
        <w:rPr>
          <w:rFonts w:ascii="Verdana" w:hAnsi="Verdana"/>
          <w:b/>
          <w:sz w:val="19"/>
          <w:szCs w:val="19"/>
        </w:rPr>
        <w:br/>
      </w:r>
      <w:r w:rsidRPr="00C10971">
        <w:rPr>
          <w:rFonts w:ascii="Verdana" w:hAnsi="Verdana"/>
          <w:b/>
          <w:sz w:val="19"/>
          <w:szCs w:val="19"/>
          <w:shd w:val="clear" w:color="auto" w:fill="FFFFFF"/>
        </w:rPr>
        <w:t xml:space="preserve">9:30 a.m., Room G-50, </w:t>
      </w:r>
      <w:proofErr w:type="spellStart"/>
      <w:r w:rsidRPr="00C10971">
        <w:rPr>
          <w:rFonts w:ascii="Verdana" w:hAnsi="Verdana"/>
          <w:b/>
          <w:sz w:val="19"/>
          <w:szCs w:val="19"/>
          <w:shd w:val="clear" w:color="auto" w:fill="FFFFFF"/>
        </w:rPr>
        <w:t>Irvis</w:t>
      </w:r>
      <w:proofErr w:type="spellEnd"/>
      <w:r w:rsidRPr="00C10971">
        <w:rPr>
          <w:rFonts w:ascii="Verdana" w:hAnsi="Verdana"/>
          <w:b/>
          <w:sz w:val="19"/>
          <w:szCs w:val="19"/>
          <w:shd w:val="clear" w:color="auto" w:fill="FFFFFF"/>
        </w:rPr>
        <w:t xml:space="preserve"> Office Building</w:t>
      </w:r>
    </w:p>
    <w:tbl>
      <w:tblPr>
        <w:tblW w:w="5000" w:type="pct"/>
        <w:tblCellSpacing w:w="15" w:type="dxa"/>
        <w:shd w:val="clear" w:color="auto" w:fill="FFFFFF"/>
        <w:tblCellMar>
          <w:top w:w="15" w:type="dxa"/>
          <w:left w:w="15" w:type="dxa"/>
          <w:bottom w:w="15" w:type="dxa"/>
          <w:right w:w="15" w:type="dxa"/>
        </w:tblCellMar>
        <w:tblLook w:val="04A0"/>
      </w:tblPr>
      <w:tblGrid>
        <w:gridCol w:w="270"/>
        <w:gridCol w:w="10800"/>
      </w:tblGrid>
      <w:tr w:rsidR="000B5C0C" w:rsidRPr="00C10971" w:rsidTr="000B5C0C">
        <w:trPr>
          <w:tblCellSpacing w:w="15" w:type="dxa"/>
        </w:trPr>
        <w:tc>
          <w:tcPr>
            <w:tcW w:w="225" w:type="dxa"/>
            <w:shd w:val="clear" w:color="auto" w:fill="FFFFFF"/>
            <w:vAlign w:val="center"/>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 </w:t>
            </w:r>
          </w:p>
        </w:tc>
        <w:tc>
          <w:tcPr>
            <w:tcW w:w="0" w:type="auto"/>
            <w:shd w:val="clear" w:color="auto" w:fill="FFFFFF"/>
            <w:vAlign w:val="center"/>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To consider:</w:t>
            </w:r>
          </w:p>
          <w:p w:rsidR="000B5C0C" w:rsidRPr="00C10971" w:rsidRDefault="000B5C0C" w:rsidP="000B5C0C">
            <w:pPr>
              <w:pStyle w:val="NoSpacing"/>
              <w:spacing w:before="0" w:beforeAutospacing="0" w:after="0" w:afterAutospacing="0"/>
              <w:rPr>
                <w:rFonts w:ascii="Verdana" w:hAnsi="Verdana"/>
                <w:vanish/>
                <w:sz w:val="19"/>
                <w:szCs w:val="19"/>
              </w:rPr>
            </w:pPr>
          </w:p>
          <w:tbl>
            <w:tblPr>
              <w:tblW w:w="4500" w:type="pct"/>
              <w:tblCellSpacing w:w="15" w:type="dxa"/>
              <w:tblCellMar>
                <w:left w:w="0" w:type="dxa"/>
                <w:right w:w="0" w:type="dxa"/>
              </w:tblCellMar>
              <w:tblLook w:val="04A0"/>
            </w:tblPr>
            <w:tblGrid>
              <w:gridCol w:w="270"/>
              <w:gridCol w:w="1380"/>
              <w:gridCol w:w="2580"/>
              <w:gridCol w:w="5423"/>
            </w:tblGrid>
            <w:tr w:rsidR="000B5C0C" w:rsidRPr="00C10971">
              <w:trPr>
                <w:tblCellSpacing w:w="15" w:type="dxa"/>
              </w:trPr>
              <w:tc>
                <w:tcPr>
                  <w:tcW w:w="225" w:type="dxa"/>
                  <w:hideMark/>
                </w:tcPr>
                <w:p w:rsidR="000B5C0C" w:rsidRPr="00C10971" w:rsidRDefault="000B5C0C" w:rsidP="000B5C0C">
                  <w:pPr>
                    <w:pStyle w:val="NoSpacing"/>
                    <w:spacing w:before="0" w:beforeAutospacing="0" w:after="0" w:afterAutospacing="0"/>
                    <w:rPr>
                      <w:rFonts w:ascii="Verdana" w:hAnsi="Verdana"/>
                      <w:sz w:val="19"/>
                      <w:szCs w:val="19"/>
                    </w:rPr>
                  </w:pPr>
                </w:p>
              </w:tc>
              <w:tc>
                <w:tcPr>
                  <w:tcW w:w="1350" w:type="dxa"/>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HB 1076  </w:t>
                  </w:r>
                </w:p>
              </w:tc>
              <w:tc>
                <w:tcPr>
                  <w:tcW w:w="2550" w:type="dxa"/>
                  <w:hideMark/>
                </w:tcPr>
                <w:p w:rsidR="0090249B"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 xml:space="preserve">Caltagirone, </w:t>
                  </w:r>
                  <w:proofErr w:type="spellStart"/>
                  <w:r w:rsidRPr="00C10971">
                    <w:rPr>
                      <w:rFonts w:ascii="Verdana" w:hAnsi="Verdana"/>
                      <w:sz w:val="19"/>
                      <w:szCs w:val="19"/>
                    </w:rPr>
                    <w:t>Thoma</w:t>
                  </w:r>
                  <w:proofErr w:type="spellEnd"/>
                </w:p>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s</w:t>
                  </w:r>
                </w:p>
              </w:tc>
              <w:tc>
                <w:tcPr>
                  <w:tcW w:w="0" w:type="auto"/>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Amends Title 68 (Real &amp; Personal Property), in land banks, further providing for legislative findings &amp; purpose, for powers &amp; for disposition of property &amp; providing for exemption from realty transfer tax.</w:t>
                  </w:r>
                </w:p>
              </w:tc>
            </w:tr>
          </w:tbl>
          <w:p w:rsidR="000B5C0C" w:rsidRPr="00C10971" w:rsidRDefault="000B5C0C" w:rsidP="000B5C0C">
            <w:pPr>
              <w:pStyle w:val="NoSpacing"/>
              <w:spacing w:before="0" w:beforeAutospacing="0" w:after="0" w:afterAutospacing="0"/>
              <w:rPr>
                <w:rFonts w:ascii="Verdana" w:hAnsi="Verdana"/>
                <w:vanish/>
                <w:sz w:val="19"/>
                <w:szCs w:val="19"/>
              </w:rPr>
            </w:pPr>
          </w:p>
          <w:p w:rsidR="000B5C0C" w:rsidRPr="00C10971" w:rsidRDefault="000B5C0C" w:rsidP="000B5C0C">
            <w:pPr>
              <w:pStyle w:val="NoSpacing"/>
              <w:spacing w:before="0" w:beforeAutospacing="0" w:after="0" w:afterAutospacing="0"/>
              <w:rPr>
                <w:rFonts w:ascii="Verdana" w:hAnsi="Verdana"/>
                <w:vanish/>
                <w:sz w:val="19"/>
                <w:szCs w:val="19"/>
              </w:rPr>
            </w:pPr>
          </w:p>
          <w:p w:rsidR="000B5C0C" w:rsidRPr="00C10971" w:rsidRDefault="000B5C0C" w:rsidP="000B5C0C">
            <w:pPr>
              <w:pStyle w:val="NoSpacing"/>
              <w:spacing w:before="0" w:beforeAutospacing="0" w:after="0" w:afterAutospacing="0"/>
              <w:rPr>
                <w:rFonts w:ascii="Verdana" w:hAnsi="Verdana"/>
                <w:vanish/>
                <w:sz w:val="19"/>
                <w:szCs w:val="19"/>
              </w:rPr>
            </w:pPr>
          </w:p>
          <w:tbl>
            <w:tblPr>
              <w:tblW w:w="4500" w:type="pct"/>
              <w:tblCellSpacing w:w="15" w:type="dxa"/>
              <w:tblCellMar>
                <w:left w:w="0" w:type="dxa"/>
                <w:right w:w="0" w:type="dxa"/>
              </w:tblCellMar>
              <w:tblLook w:val="04A0"/>
            </w:tblPr>
            <w:tblGrid>
              <w:gridCol w:w="270"/>
              <w:gridCol w:w="1380"/>
              <w:gridCol w:w="2580"/>
              <w:gridCol w:w="5423"/>
            </w:tblGrid>
            <w:tr w:rsidR="000B5C0C" w:rsidRPr="00C10971">
              <w:trPr>
                <w:tblCellSpacing w:w="15" w:type="dxa"/>
              </w:trPr>
              <w:tc>
                <w:tcPr>
                  <w:tcW w:w="225" w:type="dxa"/>
                  <w:hideMark/>
                </w:tcPr>
                <w:p w:rsidR="000B5C0C" w:rsidRPr="00C10971" w:rsidRDefault="000B5C0C" w:rsidP="000B5C0C">
                  <w:pPr>
                    <w:pStyle w:val="NoSpacing"/>
                    <w:spacing w:before="0" w:beforeAutospacing="0" w:after="0" w:afterAutospacing="0"/>
                    <w:rPr>
                      <w:rFonts w:ascii="Verdana" w:hAnsi="Verdana"/>
                      <w:sz w:val="19"/>
                      <w:szCs w:val="19"/>
                    </w:rPr>
                  </w:pPr>
                </w:p>
              </w:tc>
              <w:tc>
                <w:tcPr>
                  <w:tcW w:w="1350" w:type="dxa"/>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HB 1814  </w:t>
                  </w:r>
                </w:p>
              </w:tc>
              <w:tc>
                <w:tcPr>
                  <w:tcW w:w="2550" w:type="dxa"/>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Keller, Mark</w:t>
                  </w:r>
                </w:p>
              </w:tc>
              <w:tc>
                <w:tcPr>
                  <w:tcW w:w="0" w:type="auto"/>
                  <w:hideMark/>
                </w:tcPr>
                <w:p w:rsidR="000B5C0C" w:rsidRPr="00C10971" w:rsidRDefault="000B5C0C" w:rsidP="000B5C0C">
                  <w:pPr>
                    <w:pStyle w:val="NoSpacing"/>
                    <w:spacing w:before="0" w:beforeAutospacing="0" w:after="0" w:afterAutospacing="0"/>
                    <w:rPr>
                      <w:rFonts w:ascii="Verdana" w:hAnsi="Verdana"/>
                      <w:sz w:val="19"/>
                      <w:szCs w:val="19"/>
                    </w:rPr>
                  </w:pPr>
                  <w:r w:rsidRPr="00C10971">
                    <w:rPr>
                      <w:rFonts w:ascii="Verdana" w:hAnsi="Verdana"/>
                      <w:sz w:val="19"/>
                      <w:szCs w:val="19"/>
                    </w:rPr>
                    <w:t xml:space="preserve">Amends the Real Estate Tax Sale Law, in short title &amp; </w:t>
                  </w:r>
                  <w:proofErr w:type="spellStart"/>
                  <w:proofErr w:type="gramStart"/>
                  <w:r w:rsidRPr="00C10971">
                    <w:rPr>
                      <w:rFonts w:ascii="Verdana" w:hAnsi="Verdana"/>
                      <w:sz w:val="19"/>
                      <w:szCs w:val="19"/>
                    </w:rPr>
                    <w:t>defs</w:t>
                  </w:r>
                  <w:proofErr w:type="spellEnd"/>
                  <w:r w:rsidRPr="00C10971">
                    <w:rPr>
                      <w:rFonts w:ascii="Verdana" w:hAnsi="Verdana"/>
                      <w:sz w:val="19"/>
                      <w:szCs w:val="19"/>
                    </w:rPr>
                    <w:t>.,</w:t>
                  </w:r>
                  <w:proofErr w:type="gramEnd"/>
                  <w:r w:rsidRPr="00C10971">
                    <w:rPr>
                      <w:rFonts w:ascii="Verdana" w:hAnsi="Verdana"/>
                      <w:sz w:val="19"/>
                      <w:szCs w:val="19"/>
                    </w:rPr>
                    <w:t xml:space="preserve"> providing for </w:t>
                  </w:r>
                  <w:proofErr w:type="spellStart"/>
                  <w:r w:rsidRPr="00C10971">
                    <w:rPr>
                      <w:rFonts w:ascii="Verdana" w:hAnsi="Verdana"/>
                      <w:sz w:val="19"/>
                      <w:szCs w:val="19"/>
                    </w:rPr>
                    <w:t>defs</w:t>
                  </w:r>
                  <w:proofErr w:type="spellEnd"/>
                  <w:r w:rsidRPr="00C10971">
                    <w:rPr>
                      <w:rFonts w:ascii="Verdana" w:hAnsi="Verdana"/>
                      <w:sz w:val="19"/>
                      <w:szCs w:val="19"/>
                    </w:rPr>
                    <w:t>.; &amp;, in sale of property, providing for repurchase by owner &amp; for limitation of trusteeship &amp; responsibilities of the property owner.</w:t>
                  </w:r>
                </w:p>
              </w:tc>
            </w:tr>
          </w:tbl>
          <w:p w:rsidR="000B5C0C" w:rsidRPr="00C10971" w:rsidRDefault="000B5C0C" w:rsidP="000B5C0C">
            <w:pPr>
              <w:pStyle w:val="NoSpacing"/>
              <w:spacing w:before="0" w:beforeAutospacing="0" w:after="0" w:afterAutospacing="0"/>
              <w:rPr>
                <w:rFonts w:ascii="Verdana" w:hAnsi="Verdana"/>
                <w:sz w:val="19"/>
                <w:szCs w:val="19"/>
              </w:rPr>
            </w:pPr>
          </w:p>
        </w:tc>
      </w:tr>
    </w:tbl>
    <w:p w:rsidR="000B5C0C" w:rsidRPr="00C10971" w:rsidRDefault="000B5C0C" w:rsidP="000B5C0C">
      <w:pPr>
        <w:pStyle w:val="NoSpacing"/>
        <w:spacing w:after="0" w:afterAutospacing="0"/>
        <w:rPr>
          <w:rFonts w:ascii="Verdana" w:hAnsi="Verdana"/>
          <w:sz w:val="19"/>
          <w:szCs w:val="19"/>
        </w:rPr>
      </w:pPr>
      <w:r w:rsidRPr="00C10971">
        <w:rPr>
          <w:rFonts w:ascii="Verdana" w:hAnsi="Verdana"/>
          <w:b/>
          <w:bCs/>
          <w:color w:val="000000"/>
          <w:sz w:val="19"/>
          <w:szCs w:val="19"/>
          <w:shd w:val="clear" w:color="auto" w:fill="FFFFFF"/>
        </w:rPr>
        <w:t>House Finance</w:t>
      </w:r>
      <w:r w:rsidRPr="00C10971">
        <w:rPr>
          <w:rFonts w:ascii="Verdana" w:hAnsi="Verdana"/>
          <w:color w:val="000000"/>
          <w:sz w:val="19"/>
          <w:szCs w:val="19"/>
          <w:shd w:val="clear" w:color="auto" w:fill="FFFFFF"/>
        </w:rPr>
        <w:t>    </w:t>
      </w:r>
      <w:r w:rsidRPr="00C10971">
        <w:rPr>
          <w:rFonts w:ascii="Verdana" w:hAnsi="Verdana"/>
          <w:color w:val="000000"/>
          <w:sz w:val="19"/>
          <w:szCs w:val="19"/>
        </w:rPr>
        <w:t xml:space="preserve"> </w:t>
      </w:r>
      <w:r w:rsidRPr="00C10971">
        <w:rPr>
          <w:rFonts w:ascii="Verdana" w:hAnsi="Verdana"/>
          <w:color w:val="000000"/>
          <w:sz w:val="19"/>
          <w:szCs w:val="19"/>
        </w:rPr>
        <w:br/>
      </w:r>
      <w:r w:rsidRPr="00C10971">
        <w:rPr>
          <w:rFonts w:ascii="Verdana" w:hAnsi="Verdana"/>
          <w:b/>
          <w:color w:val="000000"/>
          <w:sz w:val="19"/>
          <w:szCs w:val="19"/>
          <w:shd w:val="clear" w:color="auto" w:fill="FFFFFF"/>
        </w:rPr>
        <w:t>WEDNESDAY - 12/13/17</w:t>
      </w:r>
      <w:r w:rsidRPr="00C10971">
        <w:rPr>
          <w:rFonts w:ascii="Verdana" w:hAnsi="Verdana"/>
          <w:b/>
          <w:color w:val="000000"/>
          <w:sz w:val="19"/>
          <w:szCs w:val="19"/>
        </w:rPr>
        <w:br/>
      </w:r>
      <w:r w:rsidRPr="00C10971">
        <w:rPr>
          <w:rFonts w:ascii="Verdana" w:hAnsi="Verdana"/>
          <w:b/>
          <w:color w:val="000000"/>
          <w:sz w:val="19"/>
          <w:szCs w:val="19"/>
          <w:shd w:val="clear" w:color="auto" w:fill="FFFFFF"/>
        </w:rPr>
        <w:t>9:00 a.m., Room 205, Ryan Office Building</w:t>
      </w:r>
    </w:p>
    <w:tbl>
      <w:tblPr>
        <w:tblW w:w="4887" w:type="pct"/>
        <w:tblCellSpacing w:w="15" w:type="dxa"/>
        <w:shd w:val="clear" w:color="auto" w:fill="FFFFFF"/>
        <w:tblCellMar>
          <w:top w:w="15" w:type="dxa"/>
          <w:left w:w="15" w:type="dxa"/>
          <w:bottom w:w="15" w:type="dxa"/>
          <w:right w:w="15" w:type="dxa"/>
        </w:tblCellMar>
        <w:tblLook w:val="04A0"/>
      </w:tblPr>
      <w:tblGrid>
        <w:gridCol w:w="264"/>
        <w:gridCol w:w="10556"/>
      </w:tblGrid>
      <w:tr w:rsidR="000B5C0C" w:rsidRPr="00C10971" w:rsidTr="0017459F">
        <w:trPr>
          <w:trHeight w:val="1755"/>
          <w:tblCellSpacing w:w="15" w:type="dxa"/>
        </w:trPr>
        <w:tc>
          <w:tcPr>
            <w:tcW w:w="219" w:type="dxa"/>
            <w:shd w:val="clear" w:color="auto" w:fill="FFFFFF"/>
            <w:vAlign w:val="center"/>
            <w:hideMark/>
          </w:tcPr>
          <w:p w:rsidR="000B5C0C" w:rsidRPr="00C10971" w:rsidRDefault="000B5C0C" w:rsidP="000B5C0C">
            <w:pPr>
              <w:pStyle w:val="NoSpacing"/>
              <w:spacing w:after="0" w:afterAutospacing="0"/>
              <w:rPr>
                <w:rFonts w:ascii="Verdana" w:hAnsi="Verdana"/>
                <w:sz w:val="19"/>
                <w:szCs w:val="19"/>
              </w:rPr>
            </w:pPr>
            <w:r w:rsidRPr="00C10971">
              <w:rPr>
                <w:rFonts w:ascii="Verdana" w:hAnsi="Verdana"/>
                <w:sz w:val="19"/>
                <w:szCs w:val="19"/>
              </w:rPr>
              <w:t> </w:t>
            </w:r>
          </w:p>
        </w:tc>
        <w:tc>
          <w:tcPr>
            <w:tcW w:w="0" w:type="auto"/>
            <w:shd w:val="clear" w:color="auto" w:fill="FFFFFF"/>
            <w:vAlign w:val="center"/>
            <w:hideMark/>
          </w:tcPr>
          <w:p w:rsidR="000B5C0C" w:rsidRPr="00C10971" w:rsidRDefault="000B5C0C" w:rsidP="000B5C0C">
            <w:pPr>
              <w:pStyle w:val="NoSpacing"/>
              <w:spacing w:after="0" w:afterAutospacing="0"/>
              <w:rPr>
                <w:rFonts w:ascii="Verdana" w:hAnsi="Verdana"/>
                <w:sz w:val="19"/>
                <w:szCs w:val="19"/>
              </w:rPr>
            </w:pPr>
            <w:r w:rsidRPr="00C10971">
              <w:rPr>
                <w:rFonts w:ascii="Verdana" w:hAnsi="Verdana"/>
                <w:sz w:val="19"/>
                <w:szCs w:val="19"/>
              </w:rPr>
              <w:t>To consider:</w:t>
            </w:r>
          </w:p>
          <w:tbl>
            <w:tblPr>
              <w:tblW w:w="4501" w:type="pct"/>
              <w:tblCellSpacing w:w="15" w:type="dxa"/>
              <w:tblCellMar>
                <w:left w:w="0" w:type="dxa"/>
                <w:right w:w="0" w:type="dxa"/>
              </w:tblCellMar>
              <w:tblLook w:val="04A0"/>
            </w:tblPr>
            <w:tblGrid>
              <w:gridCol w:w="264"/>
              <w:gridCol w:w="1349"/>
              <w:gridCol w:w="2521"/>
              <w:gridCol w:w="5301"/>
            </w:tblGrid>
            <w:tr w:rsidR="000B5C0C" w:rsidRPr="00C10971" w:rsidTr="0017459F">
              <w:trPr>
                <w:trHeight w:val="307"/>
                <w:tblCellSpacing w:w="15" w:type="dxa"/>
              </w:trPr>
              <w:tc>
                <w:tcPr>
                  <w:tcW w:w="219" w:type="dxa"/>
                  <w:hideMark/>
                </w:tcPr>
                <w:p w:rsidR="000B5C0C" w:rsidRPr="00C10971" w:rsidRDefault="000B5C0C" w:rsidP="000B5C0C">
                  <w:pPr>
                    <w:pStyle w:val="NoSpacing"/>
                    <w:spacing w:after="0" w:afterAutospacing="0"/>
                    <w:rPr>
                      <w:rFonts w:ascii="Verdana" w:hAnsi="Verdana"/>
                      <w:sz w:val="19"/>
                      <w:szCs w:val="19"/>
                    </w:rPr>
                  </w:pPr>
                </w:p>
              </w:tc>
              <w:tc>
                <w:tcPr>
                  <w:tcW w:w="1319" w:type="dxa"/>
                  <w:hideMark/>
                </w:tcPr>
                <w:p w:rsidR="000B5C0C" w:rsidRPr="00C10971" w:rsidRDefault="000B5C0C" w:rsidP="000B5C0C">
                  <w:pPr>
                    <w:pStyle w:val="NoSpacing"/>
                    <w:spacing w:after="0" w:afterAutospacing="0"/>
                    <w:rPr>
                      <w:rFonts w:ascii="Verdana" w:hAnsi="Verdana"/>
                      <w:sz w:val="19"/>
                      <w:szCs w:val="19"/>
                    </w:rPr>
                  </w:pPr>
                  <w:r w:rsidRPr="00C10971">
                    <w:rPr>
                      <w:rFonts w:ascii="Verdana" w:hAnsi="Verdana"/>
                      <w:sz w:val="19"/>
                      <w:szCs w:val="19"/>
                    </w:rPr>
                    <w:t>HB 994  </w:t>
                  </w:r>
                </w:p>
              </w:tc>
              <w:tc>
                <w:tcPr>
                  <w:tcW w:w="2491" w:type="dxa"/>
                  <w:hideMark/>
                </w:tcPr>
                <w:p w:rsidR="000B5C0C" w:rsidRPr="00C10971" w:rsidRDefault="000B5C0C" w:rsidP="000B5C0C">
                  <w:pPr>
                    <w:pStyle w:val="NoSpacing"/>
                    <w:spacing w:after="0" w:afterAutospacing="0"/>
                    <w:rPr>
                      <w:rFonts w:ascii="Verdana" w:hAnsi="Verdana"/>
                      <w:sz w:val="19"/>
                      <w:szCs w:val="19"/>
                    </w:rPr>
                  </w:pPr>
                  <w:r w:rsidRPr="00C10971">
                    <w:rPr>
                      <w:rFonts w:ascii="Verdana" w:hAnsi="Verdana"/>
                      <w:sz w:val="19"/>
                      <w:szCs w:val="19"/>
                    </w:rPr>
                    <w:t>Grove, Seth</w:t>
                  </w:r>
                </w:p>
              </w:tc>
              <w:tc>
                <w:tcPr>
                  <w:tcW w:w="0" w:type="auto"/>
                  <w:hideMark/>
                </w:tcPr>
                <w:p w:rsidR="000B5C0C" w:rsidRPr="00C10971" w:rsidRDefault="000B5C0C" w:rsidP="000B5C0C">
                  <w:pPr>
                    <w:pStyle w:val="NoSpacing"/>
                    <w:spacing w:after="0" w:afterAutospacing="0"/>
                    <w:rPr>
                      <w:rFonts w:ascii="Verdana" w:hAnsi="Verdana"/>
                      <w:sz w:val="19"/>
                      <w:szCs w:val="19"/>
                    </w:rPr>
                  </w:pPr>
                  <w:r w:rsidRPr="00C10971">
                    <w:rPr>
                      <w:rFonts w:ascii="Verdana" w:hAnsi="Verdana"/>
                      <w:sz w:val="19"/>
                      <w:szCs w:val="19"/>
                    </w:rPr>
                    <w:t>Amends the Tax Reform Code, in gross receipts tax, further providing for imposition of tax.</w:t>
                  </w:r>
                </w:p>
              </w:tc>
            </w:tr>
          </w:tbl>
          <w:p w:rsidR="000B5C0C" w:rsidRPr="00C10971" w:rsidRDefault="000B5C0C" w:rsidP="000B5C0C">
            <w:pPr>
              <w:pStyle w:val="NoSpacing"/>
              <w:spacing w:after="0" w:afterAutospacing="0"/>
              <w:rPr>
                <w:rFonts w:ascii="Verdana" w:hAnsi="Verdana"/>
                <w:vanish/>
                <w:sz w:val="19"/>
                <w:szCs w:val="19"/>
              </w:rPr>
            </w:pPr>
          </w:p>
          <w:p w:rsidR="000B5C0C" w:rsidRPr="00C10971" w:rsidRDefault="000B5C0C" w:rsidP="000B5C0C">
            <w:pPr>
              <w:pStyle w:val="NoSpacing"/>
              <w:spacing w:after="0" w:afterAutospacing="0"/>
              <w:rPr>
                <w:rFonts w:ascii="Verdana" w:hAnsi="Verdana"/>
                <w:vanish/>
                <w:sz w:val="19"/>
                <w:szCs w:val="19"/>
              </w:rPr>
            </w:pPr>
          </w:p>
          <w:tbl>
            <w:tblPr>
              <w:tblW w:w="4501" w:type="pct"/>
              <w:tblCellSpacing w:w="15" w:type="dxa"/>
              <w:tblCellMar>
                <w:left w:w="0" w:type="dxa"/>
                <w:right w:w="0" w:type="dxa"/>
              </w:tblCellMar>
              <w:tblLook w:val="04A0"/>
            </w:tblPr>
            <w:tblGrid>
              <w:gridCol w:w="264"/>
              <w:gridCol w:w="1349"/>
              <w:gridCol w:w="2521"/>
              <w:gridCol w:w="5301"/>
            </w:tblGrid>
            <w:tr w:rsidR="000B5C0C" w:rsidRPr="00C10971" w:rsidTr="0017459F">
              <w:trPr>
                <w:trHeight w:val="751"/>
                <w:tblCellSpacing w:w="15" w:type="dxa"/>
              </w:trPr>
              <w:tc>
                <w:tcPr>
                  <w:tcW w:w="219" w:type="dxa"/>
                  <w:hideMark/>
                </w:tcPr>
                <w:p w:rsidR="000B5C0C" w:rsidRPr="00C10971" w:rsidRDefault="000B5C0C" w:rsidP="000B5C0C">
                  <w:pPr>
                    <w:pStyle w:val="NoSpacing"/>
                    <w:spacing w:after="0" w:afterAutospacing="0"/>
                    <w:rPr>
                      <w:rFonts w:ascii="Verdana" w:hAnsi="Verdana"/>
                      <w:sz w:val="19"/>
                      <w:szCs w:val="19"/>
                    </w:rPr>
                  </w:pPr>
                </w:p>
              </w:tc>
              <w:tc>
                <w:tcPr>
                  <w:tcW w:w="1319" w:type="dxa"/>
                  <w:hideMark/>
                </w:tcPr>
                <w:p w:rsidR="000B5C0C" w:rsidRPr="00C10971" w:rsidRDefault="000B5C0C" w:rsidP="000B5C0C">
                  <w:pPr>
                    <w:pStyle w:val="NoSpacing"/>
                    <w:spacing w:after="0" w:afterAutospacing="0"/>
                    <w:rPr>
                      <w:rFonts w:ascii="Verdana" w:hAnsi="Verdana"/>
                      <w:sz w:val="19"/>
                      <w:szCs w:val="19"/>
                    </w:rPr>
                  </w:pPr>
                  <w:r w:rsidRPr="00C10971">
                    <w:rPr>
                      <w:rFonts w:ascii="Verdana" w:hAnsi="Verdana"/>
                      <w:sz w:val="19"/>
                      <w:szCs w:val="19"/>
                    </w:rPr>
                    <w:t>HB 1098  </w:t>
                  </w:r>
                </w:p>
              </w:tc>
              <w:tc>
                <w:tcPr>
                  <w:tcW w:w="2491" w:type="dxa"/>
                  <w:hideMark/>
                </w:tcPr>
                <w:p w:rsidR="000B5C0C" w:rsidRPr="00C10971" w:rsidRDefault="000B5C0C" w:rsidP="000B5C0C">
                  <w:pPr>
                    <w:pStyle w:val="NoSpacing"/>
                    <w:spacing w:after="0" w:afterAutospacing="0"/>
                    <w:rPr>
                      <w:rFonts w:ascii="Verdana" w:hAnsi="Verdana"/>
                      <w:sz w:val="19"/>
                      <w:szCs w:val="19"/>
                    </w:rPr>
                  </w:pPr>
                  <w:r w:rsidRPr="00C10971">
                    <w:rPr>
                      <w:rFonts w:ascii="Verdana" w:hAnsi="Verdana"/>
                      <w:sz w:val="19"/>
                      <w:szCs w:val="19"/>
                    </w:rPr>
                    <w:t>Peifer, Michael</w:t>
                  </w:r>
                </w:p>
              </w:tc>
              <w:tc>
                <w:tcPr>
                  <w:tcW w:w="0" w:type="auto"/>
                  <w:hideMark/>
                </w:tcPr>
                <w:p w:rsidR="000B5C0C" w:rsidRPr="00C10971" w:rsidRDefault="000B5C0C" w:rsidP="000B5C0C">
                  <w:pPr>
                    <w:pStyle w:val="NoSpacing"/>
                    <w:spacing w:after="0" w:afterAutospacing="0"/>
                    <w:rPr>
                      <w:rFonts w:ascii="Verdana" w:hAnsi="Verdana"/>
                      <w:sz w:val="19"/>
                      <w:szCs w:val="19"/>
                    </w:rPr>
                  </w:pPr>
                  <w:r w:rsidRPr="00C10971">
                    <w:rPr>
                      <w:rFonts w:ascii="Verdana" w:hAnsi="Verdana"/>
                      <w:sz w:val="19"/>
                      <w:szCs w:val="19"/>
                    </w:rPr>
                    <w:t>Amends The Local Tax Enabling Act, in local taxes, further providing for delegation of taxing powers and restrictions thereon; and, in consolidated collection of local income taxes, further providing for declaration and payment of income.</w:t>
                  </w:r>
                </w:p>
              </w:tc>
            </w:tr>
          </w:tbl>
          <w:p w:rsidR="000B5C0C" w:rsidRPr="00C10971" w:rsidRDefault="000B5C0C" w:rsidP="000B5C0C">
            <w:pPr>
              <w:pStyle w:val="NoSpacing"/>
              <w:spacing w:after="0" w:afterAutospacing="0"/>
              <w:rPr>
                <w:rFonts w:ascii="Verdana" w:hAnsi="Verdana"/>
                <w:vanish/>
                <w:sz w:val="19"/>
                <w:szCs w:val="19"/>
              </w:rPr>
            </w:pPr>
          </w:p>
          <w:p w:rsidR="000B5C0C" w:rsidRPr="00C10971" w:rsidRDefault="000B5C0C" w:rsidP="000B5C0C">
            <w:pPr>
              <w:pStyle w:val="NoSpacing"/>
              <w:spacing w:after="0" w:afterAutospacing="0"/>
              <w:rPr>
                <w:rFonts w:ascii="Verdana" w:hAnsi="Verdana"/>
                <w:sz w:val="19"/>
                <w:szCs w:val="19"/>
              </w:rPr>
            </w:pPr>
          </w:p>
        </w:tc>
      </w:tr>
    </w:tbl>
    <w:p w:rsidR="00D727FE"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E02011" w:rsidRPr="00E02011" w:rsidRDefault="00E02011" w:rsidP="00E02011">
      <w:pPr>
        <w:pStyle w:val="NoSpacing"/>
        <w:rPr>
          <w:rFonts w:ascii="Verdana" w:hAnsi="Verdana"/>
          <w:sz w:val="20"/>
          <w:szCs w:val="20"/>
        </w:rPr>
      </w:pPr>
      <w:r w:rsidRPr="00E02011">
        <w:rPr>
          <w:rStyle w:val="Strong"/>
          <w:rFonts w:ascii="Verdana" w:hAnsi="Verdana" w:cs="Arial"/>
          <w:sz w:val="20"/>
          <w:szCs w:val="20"/>
        </w:rPr>
        <w:t>Revenue Department Releases November 2017 Collections</w:t>
      </w:r>
    </w:p>
    <w:p w:rsidR="00E02011" w:rsidRPr="00E02011" w:rsidRDefault="00E02011" w:rsidP="00E02011">
      <w:pPr>
        <w:pStyle w:val="NoSpacing"/>
        <w:rPr>
          <w:rFonts w:ascii="Verdana" w:hAnsi="Verdana"/>
          <w:sz w:val="20"/>
          <w:szCs w:val="20"/>
        </w:rPr>
      </w:pPr>
      <w:r w:rsidRPr="00E02011">
        <w:rPr>
          <w:rStyle w:val="Strong"/>
          <w:rFonts w:ascii="Arial" w:hAnsi="Arial" w:cs="Arial"/>
          <w:sz w:val="20"/>
          <w:szCs w:val="20"/>
        </w:rPr>
        <w:t>​</w:t>
      </w:r>
      <w:r w:rsidRPr="00E02011">
        <w:rPr>
          <w:rFonts w:ascii="Verdana" w:hAnsi="Verdana"/>
          <w:sz w:val="20"/>
          <w:szCs w:val="20"/>
        </w:rPr>
        <w:t xml:space="preserve">Pennsylvania collected General Fund tax revenue in November of $2.2 billion, Revenue Secretary Dan </w:t>
      </w:r>
      <w:proofErr w:type="spellStart"/>
      <w:r w:rsidRPr="00E02011">
        <w:rPr>
          <w:rFonts w:ascii="Verdana" w:hAnsi="Verdana"/>
          <w:sz w:val="20"/>
          <w:szCs w:val="20"/>
        </w:rPr>
        <w:t>Hassell</w:t>
      </w:r>
      <w:proofErr w:type="spellEnd"/>
      <w:r w:rsidRPr="00E02011">
        <w:rPr>
          <w:rFonts w:ascii="Verdana" w:hAnsi="Verdana"/>
          <w:sz w:val="20"/>
          <w:szCs w:val="20"/>
        </w:rPr>
        <w:t xml:space="preserve"> announced. The total tax collections for the month exceed estimate by $47.2 million, or 0.4 percent. Fiscal year-to-date, General Fund revenue collections total $11.4 billion, which is $26.1 million, or 0.2 percent, above estimate.</w:t>
      </w:r>
      <w:r>
        <w:rPr>
          <w:rFonts w:ascii="Verdana" w:hAnsi="Verdana"/>
          <w:sz w:val="20"/>
          <w:szCs w:val="20"/>
        </w:rPr>
        <w:t xml:space="preserve"> </w:t>
      </w:r>
      <w:r w:rsidRPr="00E02011">
        <w:rPr>
          <w:rFonts w:ascii="Verdana" w:hAnsi="Verdana"/>
          <w:sz w:val="20"/>
          <w:szCs w:val="20"/>
        </w:rPr>
        <w:t>Sales tax receipts totaled $837.4 million for November, $23.6 million above estimate. Year-to-date sales tax collections total $4.3 billion, which is $23.6 million, or 0.6 percent, more than anticipated.</w:t>
      </w:r>
      <w:r>
        <w:rPr>
          <w:rFonts w:ascii="Verdana" w:hAnsi="Verdana"/>
          <w:sz w:val="20"/>
          <w:szCs w:val="20"/>
        </w:rPr>
        <w:t xml:space="preserve"> </w:t>
      </w:r>
      <w:r w:rsidRPr="00E02011">
        <w:rPr>
          <w:rFonts w:ascii="Verdana" w:hAnsi="Verdana"/>
          <w:sz w:val="20"/>
          <w:szCs w:val="20"/>
        </w:rPr>
        <w:t>Personal income tax (PIT) revenue in November was $918.2 million, $10.5 million above estimate. This brings year-to-date PIT collections to $4.7 billion, which is $10.4 million, or 0.2 percent, above estimate. </w:t>
      </w:r>
      <w:r>
        <w:rPr>
          <w:rFonts w:ascii="Verdana" w:hAnsi="Verdana"/>
          <w:sz w:val="20"/>
          <w:szCs w:val="20"/>
        </w:rPr>
        <w:t xml:space="preserve"> </w:t>
      </w:r>
      <w:r w:rsidRPr="00E02011">
        <w:rPr>
          <w:rFonts w:ascii="Verdana" w:hAnsi="Verdana"/>
          <w:sz w:val="20"/>
          <w:szCs w:val="20"/>
        </w:rPr>
        <w:t>November corporation tax revenue of $103.3 million was $9 million above estimate. Year-to-date corporation tax collections total $812.9 million, which is $8.8 million, or 1.1 percent, above estimate.</w:t>
      </w:r>
      <w:r>
        <w:rPr>
          <w:rFonts w:ascii="Verdana" w:hAnsi="Verdana"/>
          <w:sz w:val="20"/>
          <w:szCs w:val="20"/>
        </w:rPr>
        <w:t xml:space="preserve"> </w:t>
      </w:r>
      <w:r w:rsidRPr="00E02011">
        <w:rPr>
          <w:rFonts w:ascii="Verdana" w:hAnsi="Verdana"/>
          <w:sz w:val="20"/>
          <w:szCs w:val="20"/>
        </w:rPr>
        <w:t>Inheritance tax revenue for November was $87.8 million, $6.5 million above estimate, bringing the year-to-date total to $404.5 million, which is $6.6 million, or 1.6 percent, above estimate. </w:t>
      </w:r>
      <w:r>
        <w:rPr>
          <w:rFonts w:ascii="Verdana" w:hAnsi="Verdana"/>
          <w:sz w:val="20"/>
          <w:szCs w:val="20"/>
        </w:rPr>
        <w:t xml:space="preserve"> </w:t>
      </w:r>
      <w:r w:rsidRPr="00E02011">
        <w:rPr>
          <w:rFonts w:ascii="Verdana" w:hAnsi="Verdana"/>
          <w:sz w:val="20"/>
          <w:szCs w:val="20"/>
        </w:rPr>
        <w:t xml:space="preserve">Realty transfer tax revenue was $44.5 million for </w:t>
      </w:r>
      <w:proofErr w:type="gramStart"/>
      <w:r w:rsidRPr="00E02011">
        <w:rPr>
          <w:rFonts w:ascii="Verdana" w:hAnsi="Verdana"/>
          <w:sz w:val="20"/>
          <w:szCs w:val="20"/>
        </w:rPr>
        <w:t>November,</w:t>
      </w:r>
      <w:proofErr w:type="gramEnd"/>
      <w:r w:rsidRPr="00E02011">
        <w:rPr>
          <w:rFonts w:ascii="Verdana" w:hAnsi="Verdana"/>
          <w:sz w:val="20"/>
          <w:szCs w:val="20"/>
        </w:rPr>
        <w:t xml:space="preserve"> $2.6 million above estimate, bringing the fiscal-year total to $220.8 million, which is $2.6 million, or 1.2 percent, more than anticipated. </w:t>
      </w:r>
      <w:r>
        <w:rPr>
          <w:rFonts w:ascii="Verdana" w:hAnsi="Verdana"/>
          <w:sz w:val="20"/>
          <w:szCs w:val="20"/>
        </w:rPr>
        <w:t xml:space="preserve"> </w:t>
      </w:r>
      <w:r w:rsidRPr="00E02011">
        <w:rPr>
          <w:rFonts w:ascii="Verdana" w:hAnsi="Verdana"/>
          <w:sz w:val="20"/>
          <w:szCs w:val="20"/>
        </w:rPr>
        <w:t xml:space="preserve">Other General Fund tax revenue, including cigarette, malt beverage, </w:t>
      </w:r>
      <w:proofErr w:type="gramStart"/>
      <w:r w:rsidRPr="00E02011">
        <w:rPr>
          <w:rFonts w:ascii="Verdana" w:hAnsi="Verdana"/>
          <w:sz w:val="20"/>
          <w:szCs w:val="20"/>
        </w:rPr>
        <w:t>liquor</w:t>
      </w:r>
      <w:proofErr w:type="gramEnd"/>
      <w:r w:rsidRPr="00E02011">
        <w:rPr>
          <w:rFonts w:ascii="Verdana" w:hAnsi="Verdana"/>
          <w:sz w:val="20"/>
          <w:szCs w:val="20"/>
        </w:rPr>
        <w:t xml:space="preserve"> and gaming taxes, totaled $167.5 million for the month, $4.4 million below estimate and bringing the year-to-date total to $780.1 million, which is $4.7 million, or 0.6 percent, below estimate. Non-tax revenue totaled $146.9 million for the month, $21.2 million below estimate, bringing the year-to-date total to $224.3 million, which is $21.2 million, or 8.6 percent, below estimate.</w:t>
      </w:r>
      <w:r>
        <w:rPr>
          <w:rFonts w:ascii="Verdana" w:hAnsi="Verdana"/>
          <w:sz w:val="20"/>
          <w:szCs w:val="20"/>
        </w:rPr>
        <w:t xml:space="preserve"> </w:t>
      </w:r>
      <w:r w:rsidRPr="00E02011">
        <w:rPr>
          <w:rFonts w:ascii="Verdana" w:hAnsi="Verdana"/>
          <w:sz w:val="20"/>
          <w:szCs w:val="20"/>
        </w:rPr>
        <w:t>In addition to the General Fund collections, the Motor License Fund received $262.5 million for the month, $24.3 million above estimate. Fiscal year-to-date collections for the fund — which include the commonly known gas and diesel taxes, as well as other license, fine and fee revenues — total $1.3 billion, which is $24 million, or 1.9 percent, above estimate.</w:t>
      </w:r>
    </w:p>
    <w:p w:rsidR="00CB0BEA" w:rsidRPr="00994B05" w:rsidRDefault="00994B05" w:rsidP="00A42BD2">
      <w:pPr>
        <w:pStyle w:val="NormalWeb"/>
        <w:shd w:val="clear" w:color="auto" w:fill="FFFFFF"/>
        <w:spacing w:after="140" w:afterAutospacing="0"/>
        <w:rPr>
          <w:rFonts w:ascii="Verdana" w:hAnsi="Verdana"/>
          <w:b/>
          <w:color w:val="000000"/>
          <w:sz w:val="22"/>
          <w:szCs w:val="20"/>
          <w:u w:val="thick"/>
        </w:rPr>
      </w:pPr>
      <w:r w:rsidRPr="00994B05">
        <w:rPr>
          <w:rFonts w:ascii="Verdana" w:hAnsi="Verdana"/>
          <w:b/>
          <w:color w:val="000000"/>
          <w:sz w:val="22"/>
          <w:szCs w:val="20"/>
          <w:u w:val="thick"/>
        </w:rPr>
        <w:t>IRRC UPDATE</w:t>
      </w:r>
    </w:p>
    <w:p w:rsidR="00994B05" w:rsidRPr="00A42BD2" w:rsidRDefault="00994B05" w:rsidP="000B5C0C">
      <w:pPr>
        <w:pStyle w:val="NormalWeb"/>
        <w:shd w:val="clear" w:color="auto" w:fill="FFFFFF"/>
        <w:rPr>
          <w:rFonts w:ascii="Verdana" w:hAnsi="Verdana"/>
          <w:color w:val="000000"/>
          <w:sz w:val="20"/>
          <w:szCs w:val="20"/>
        </w:rPr>
      </w:pPr>
      <w:r>
        <w:rPr>
          <w:rFonts w:ascii="Verdana" w:hAnsi="Verdana"/>
          <w:color w:val="000000"/>
          <w:sz w:val="20"/>
          <w:szCs w:val="20"/>
        </w:rPr>
        <w:t>None</w:t>
      </w:r>
    </w:p>
    <w:sectPr w:rsidR="00994B05" w:rsidRPr="00A42BD2"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A3" w:rsidRDefault="00C074A3" w:rsidP="002B51AE">
      <w:pPr>
        <w:spacing w:after="0" w:line="240" w:lineRule="auto"/>
      </w:pPr>
      <w:r>
        <w:separator/>
      </w:r>
    </w:p>
  </w:endnote>
  <w:endnote w:type="continuationSeparator" w:id="0">
    <w:p w:rsidR="00C074A3" w:rsidRDefault="00C074A3"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A3" w:rsidRDefault="00C074A3" w:rsidP="002B51AE">
      <w:pPr>
        <w:spacing w:after="0" w:line="240" w:lineRule="auto"/>
      </w:pPr>
      <w:r>
        <w:separator/>
      </w:r>
    </w:p>
  </w:footnote>
  <w:footnote w:type="continuationSeparator" w:id="0">
    <w:p w:rsidR="00C074A3" w:rsidRDefault="00C074A3"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568"/>
    <w:multiLevelType w:val="multilevel"/>
    <w:tmpl w:val="BDF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264CD"/>
    <w:multiLevelType w:val="multilevel"/>
    <w:tmpl w:val="8EE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B4EE6"/>
    <w:multiLevelType w:val="multilevel"/>
    <w:tmpl w:val="1E02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8680F"/>
    <w:multiLevelType w:val="multilevel"/>
    <w:tmpl w:val="991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C5A69"/>
    <w:multiLevelType w:val="multilevel"/>
    <w:tmpl w:val="8AAC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22BF3"/>
    <w:multiLevelType w:val="multilevel"/>
    <w:tmpl w:val="94A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0D100B"/>
    <w:multiLevelType w:val="hybridMultilevel"/>
    <w:tmpl w:val="3F0ACEE8"/>
    <w:lvl w:ilvl="0" w:tplc="18828A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12278"/>
    <w:multiLevelType w:val="multilevel"/>
    <w:tmpl w:val="1F1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BD5E78"/>
    <w:multiLevelType w:val="multilevel"/>
    <w:tmpl w:val="BF7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A3CA7"/>
    <w:multiLevelType w:val="multilevel"/>
    <w:tmpl w:val="139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1033A5"/>
    <w:multiLevelType w:val="multilevel"/>
    <w:tmpl w:val="F6C4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6F7A2B"/>
    <w:multiLevelType w:val="multilevel"/>
    <w:tmpl w:val="0EB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404A5B"/>
    <w:multiLevelType w:val="multilevel"/>
    <w:tmpl w:val="AD1E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E762F3"/>
    <w:multiLevelType w:val="hybridMultilevel"/>
    <w:tmpl w:val="39AAB5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31E5A"/>
    <w:multiLevelType w:val="multilevel"/>
    <w:tmpl w:val="28D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C73CC"/>
    <w:multiLevelType w:val="hybridMultilevel"/>
    <w:tmpl w:val="48C2B502"/>
    <w:lvl w:ilvl="0" w:tplc="BC1A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7126E"/>
    <w:multiLevelType w:val="multilevel"/>
    <w:tmpl w:val="71C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8A0094"/>
    <w:multiLevelType w:val="multilevel"/>
    <w:tmpl w:val="93F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F5C7D"/>
    <w:multiLevelType w:val="multilevel"/>
    <w:tmpl w:val="DEA62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561862"/>
    <w:multiLevelType w:val="multilevel"/>
    <w:tmpl w:val="21C8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DC6833"/>
    <w:multiLevelType w:val="multilevel"/>
    <w:tmpl w:val="849C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741F3F"/>
    <w:multiLevelType w:val="multilevel"/>
    <w:tmpl w:val="FCF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B1AAA"/>
    <w:multiLevelType w:val="multilevel"/>
    <w:tmpl w:val="4B2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E653BE"/>
    <w:multiLevelType w:val="multilevel"/>
    <w:tmpl w:val="F50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75820"/>
    <w:multiLevelType w:val="multilevel"/>
    <w:tmpl w:val="355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DE0DF0"/>
    <w:multiLevelType w:val="multilevel"/>
    <w:tmpl w:val="CE8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7758A7"/>
    <w:multiLevelType w:val="multilevel"/>
    <w:tmpl w:val="99B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C3B3709"/>
    <w:multiLevelType w:val="multilevel"/>
    <w:tmpl w:val="2C760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CAE6A4A"/>
    <w:multiLevelType w:val="multilevel"/>
    <w:tmpl w:val="CA5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E0765"/>
    <w:multiLevelType w:val="multilevel"/>
    <w:tmpl w:val="D67C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8C6449"/>
    <w:multiLevelType w:val="multilevel"/>
    <w:tmpl w:val="12D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E952BC"/>
    <w:multiLevelType w:val="hybridMultilevel"/>
    <w:tmpl w:val="210C3A20"/>
    <w:lvl w:ilvl="0" w:tplc="3252F0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82087"/>
    <w:multiLevelType w:val="multilevel"/>
    <w:tmpl w:val="40B0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5847F94"/>
    <w:multiLevelType w:val="multilevel"/>
    <w:tmpl w:val="61E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7D2B85"/>
    <w:multiLevelType w:val="multilevel"/>
    <w:tmpl w:val="872E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B571C4"/>
    <w:multiLevelType w:val="multilevel"/>
    <w:tmpl w:val="8D6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8B2E11"/>
    <w:multiLevelType w:val="multilevel"/>
    <w:tmpl w:val="E7A8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926742"/>
    <w:multiLevelType w:val="multilevel"/>
    <w:tmpl w:val="4740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7F86DA5"/>
    <w:multiLevelType w:val="multilevel"/>
    <w:tmpl w:val="483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8AD0714"/>
    <w:multiLevelType w:val="multilevel"/>
    <w:tmpl w:val="5EF4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3C5660"/>
    <w:multiLevelType w:val="multilevel"/>
    <w:tmpl w:val="DEB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EA2148E"/>
    <w:multiLevelType w:val="multilevel"/>
    <w:tmpl w:val="70F4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71A0461"/>
    <w:multiLevelType w:val="multilevel"/>
    <w:tmpl w:val="594C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B706CC"/>
    <w:multiLevelType w:val="multilevel"/>
    <w:tmpl w:val="C2B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84F52C6"/>
    <w:multiLevelType w:val="hybridMultilevel"/>
    <w:tmpl w:val="97EA74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95506F5"/>
    <w:multiLevelType w:val="multilevel"/>
    <w:tmpl w:val="067E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4D2017"/>
    <w:multiLevelType w:val="multilevel"/>
    <w:tmpl w:val="788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
  </w:num>
  <w:num w:numId="5">
    <w:abstractNumId w:val="11"/>
  </w:num>
  <w:num w:numId="6">
    <w:abstractNumId w:val="38"/>
  </w:num>
  <w:num w:numId="7">
    <w:abstractNumId w:val="24"/>
  </w:num>
  <w:num w:numId="8">
    <w:abstractNumId w:val="42"/>
  </w:num>
  <w:num w:numId="9">
    <w:abstractNumId w:val="21"/>
  </w:num>
  <w:num w:numId="10">
    <w:abstractNumId w:val="46"/>
  </w:num>
  <w:num w:numId="11">
    <w:abstractNumId w:val="14"/>
  </w:num>
  <w:num w:numId="12">
    <w:abstractNumId w:val="36"/>
  </w:num>
  <w:num w:numId="13">
    <w:abstractNumId w:val="30"/>
  </w:num>
  <w:num w:numId="14">
    <w:abstractNumId w:val="17"/>
  </w:num>
  <w:num w:numId="15">
    <w:abstractNumId w:val="2"/>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7"/>
  </w:num>
  <w:num w:numId="19">
    <w:abstractNumId w:val="10"/>
  </w:num>
  <w:num w:numId="20">
    <w:abstractNumId w:val="0"/>
  </w:num>
  <w:num w:numId="21">
    <w:abstractNumId w:val="25"/>
  </w:num>
  <w:num w:numId="22">
    <w:abstractNumId w:val="35"/>
  </w:num>
  <w:num w:numId="23">
    <w:abstractNumId w:val="16"/>
  </w:num>
  <w:num w:numId="24">
    <w:abstractNumId w:val="28"/>
  </w:num>
  <w:num w:numId="25">
    <w:abstractNumId w:val="45"/>
  </w:num>
  <w:num w:numId="26">
    <w:abstractNumId w:val="7"/>
  </w:num>
  <w:num w:numId="27">
    <w:abstractNumId w:val="1"/>
  </w:num>
  <w:num w:numId="28">
    <w:abstractNumId w:val="22"/>
  </w:num>
  <w:num w:numId="29">
    <w:abstractNumId w:val="29"/>
  </w:num>
  <w:num w:numId="30">
    <w:abstractNumId w:val="8"/>
  </w:num>
  <w:num w:numId="31">
    <w:abstractNumId w:val="23"/>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1"/>
  </w:num>
  <w:num w:numId="36">
    <w:abstractNumId w:val="43"/>
  </w:num>
  <w:num w:numId="37">
    <w:abstractNumId w:val="9"/>
  </w:num>
  <w:num w:numId="38">
    <w:abstractNumId w:val="20"/>
  </w:num>
  <w:num w:numId="39">
    <w:abstractNumId w:val="5"/>
  </w:num>
  <w:num w:numId="40">
    <w:abstractNumId w:val="39"/>
  </w:num>
  <w:num w:numId="41">
    <w:abstractNumId w:val="12"/>
  </w:num>
  <w:num w:numId="42">
    <w:abstractNumId w:val="19"/>
  </w:num>
  <w:num w:numId="43">
    <w:abstractNumId w:val="34"/>
  </w:num>
  <w:num w:numId="44">
    <w:abstractNumId w:val="32"/>
  </w:num>
  <w:num w:numId="45">
    <w:abstractNumId w:val="26"/>
  </w:num>
  <w:num w:numId="46">
    <w:abstractNumId w:val="4"/>
  </w:num>
  <w:num w:numId="47">
    <w:abstractNumId w:val="18"/>
  </w:num>
  <w:num w:numId="4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1D65"/>
    <w:rsid w:val="000166C8"/>
    <w:rsid w:val="00022121"/>
    <w:rsid w:val="000235F5"/>
    <w:rsid w:val="00023E77"/>
    <w:rsid w:val="00030A2F"/>
    <w:rsid w:val="0003115D"/>
    <w:rsid w:val="0003361C"/>
    <w:rsid w:val="000351DC"/>
    <w:rsid w:val="00036F9C"/>
    <w:rsid w:val="000374D0"/>
    <w:rsid w:val="0004173E"/>
    <w:rsid w:val="000425E8"/>
    <w:rsid w:val="00044779"/>
    <w:rsid w:val="0004702B"/>
    <w:rsid w:val="000472CA"/>
    <w:rsid w:val="00050EA2"/>
    <w:rsid w:val="000518A3"/>
    <w:rsid w:val="000526EF"/>
    <w:rsid w:val="00053323"/>
    <w:rsid w:val="00055920"/>
    <w:rsid w:val="00056956"/>
    <w:rsid w:val="000629DA"/>
    <w:rsid w:val="00066831"/>
    <w:rsid w:val="000673AC"/>
    <w:rsid w:val="000703C3"/>
    <w:rsid w:val="00071AC1"/>
    <w:rsid w:val="00076A8D"/>
    <w:rsid w:val="00076CA8"/>
    <w:rsid w:val="00093743"/>
    <w:rsid w:val="000974B1"/>
    <w:rsid w:val="000976A0"/>
    <w:rsid w:val="00097B14"/>
    <w:rsid w:val="000A3EA1"/>
    <w:rsid w:val="000B0F3C"/>
    <w:rsid w:val="000B586C"/>
    <w:rsid w:val="000B5C0C"/>
    <w:rsid w:val="000B70B9"/>
    <w:rsid w:val="000C299A"/>
    <w:rsid w:val="000C4DA4"/>
    <w:rsid w:val="000C6D28"/>
    <w:rsid w:val="000C74E0"/>
    <w:rsid w:val="000D15C3"/>
    <w:rsid w:val="000D2848"/>
    <w:rsid w:val="000D2B73"/>
    <w:rsid w:val="000D64A0"/>
    <w:rsid w:val="000D6B5C"/>
    <w:rsid w:val="000E3A08"/>
    <w:rsid w:val="000E6245"/>
    <w:rsid w:val="000F4347"/>
    <w:rsid w:val="000F4EF5"/>
    <w:rsid w:val="00101F06"/>
    <w:rsid w:val="00103202"/>
    <w:rsid w:val="001060B8"/>
    <w:rsid w:val="00110772"/>
    <w:rsid w:val="001118ED"/>
    <w:rsid w:val="00111A60"/>
    <w:rsid w:val="001128BB"/>
    <w:rsid w:val="0011314F"/>
    <w:rsid w:val="00117341"/>
    <w:rsid w:val="0012058F"/>
    <w:rsid w:val="00121446"/>
    <w:rsid w:val="00123B94"/>
    <w:rsid w:val="001242BB"/>
    <w:rsid w:val="00127616"/>
    <w:rsid w:val="00131054"/>
    <w:rsid w:val="001323A8"/>
    <w:rsid w:val="00140034"/>
    <w:rsid w:val="00140CAD"/>
    <w:rsid w:val="00143ACA"/>
    <w:rsid w:val="00143C7B"/>
    <w:rsid w:val="00146492"/>
    <w:rsid w:val="0014794F"/>
    <w:rsid w:val="00147F0E"/>
    <w:rsid w:val="00152168"/>
    <w:rsid w:val="00154145"/>
    <w:rsid w:val="0015552C"/>
    <w:rsid w:val="00155819"/>
    <w:rsid w:val="0016664E"/>
    <w:rsid w:val="00166BA1"/>
    <w:rsid w:val="00170090"/>
    <w:rsid w:val="00170164"/>
    <w:rsid w:val="00170237"/>
    <w:rsid w:val="00171B2A"/>
    <w:rsid w:val="00171DCD"/>
    <w:rsid w:val="0017459F"/>
    <w:rsid w:val="001758AD"/>
    <w:rsid w:val="001800D4"/>
    <w:rsid w:val="001805BC"/>
    <w:rsid w:val="001814ED"/>
    <w:rsid w:val="00186D31"/>
    <w:rsid w:val="00190DA7"/>
    <w:rsid w:val="001918A0"/>
    <w:rsid w:val="00194B7E"/>
    <w:rsid w:val="001950DF"/>
    <w:rsid w:val="001966BD"/>
    <w:rsid w:val="001A1986"/>
    <w:rsid w:val="001A20BE"/>
    <w:rsid w:val="001A7637"/>
    <w:rsid w:val="001B45A5"/>
    <w:rsid w:val="001C14AA"/>
    <w:rsid w:val="001C1C0E"/>
    <w:rsid w:val="001C282A"/>
    <w:rsid w:val="001C6A15"/>
    <w:rsid w:val="001C7E9A"/>
    <w:rsid w:val="001D1011"/>
    <w:rsid w:val="001D15EB"/>
    <w:rsid w:val="001D1924"/>
    <w:rsid w:val="001D5386"/>
    <w:rsid w:val="001D58F3"/>
    <w:rsid w:val="001D6D0F"/>
    <w:rsid w:val="001E0D31"/>
    <w:rsid w:val="001E1850"/>
    <w:rsid w:val="001E1C1A"/>
    <w:rsid w:val="001E4347"/>
    <w:rsid w:val="001E47B0"/>
    <w:rsid w:val="001E562F"/>
    <w:rsid w:val="001F09DC"/>
    <w:rsid w:val="001F4597"/>
    <w:rsid w:val="001F570D"/>
    <w:rsid w:val="001F6C20"/>
    <w:rsid w:val="001F7154"/>
    <w:rsid w:val="001F7522"/>
    <w:rsid w:val="00200A23"/>
    <w:rsid w:val="00200FC9"/>
    <w:rsid w:val="00203B66"/>
    <w:rsid w:val="002049E9"/>
    <w:rsid w:val="00205290"/>
    <w:rsid w:val="00215A27"/>
    <w:rsid w:val="00216428"/>
    <w:rsid w:val="002168D2"/>
    <w:rsid w:val="00217084"/>
    <w:rsid w:val="00224F38"/>
    <w:rsid w:val="00247EB2"/>
    <w:rsid w:val="002504CE"/>
    <w:rsid w:val="0025121F"/>
    <w:rsid w:val="00253C50"/>
    <w:rsid w:val="00261169"/>
    <w:rsid w:val="00264852"/>
    <w:rsid w:val="00264EB9"/>
    <w:rsid w:val="00265097"/>
    <w:rsid w:val="00265852"/>
    <w:rsid w:val="002677BE"/>
    <w:rsid w:val="00271D4A"/>
    <w:rsid w:val="00272F09"/>
    <w:rsid w:val="0028073E"/>
    <w:rsid w:val="0028278A"/>
    <w:rsid w:val="0028782E"/>
    <w:rsid w:val="00287A39"/>
    <w:rsid w:val="00290548"/>
    <w:rsid w:val="00291342"/>
    <w:rsid w:val="00294A4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302D"/>
    <w:rsid w:val="002D4482"/>
    <w:rsid w:val="002D7A75"/>
    <w:rsid w:val="002D7D0C"/>
    <w:rsid w:val="002E0F28"/>
    <w:rsid w:val="002E1089"/>
    <w:rsid w:val="002E52C0"/>
    <w:rsid w:val="002E5A91"/>
    <w:rsid w:val="002F4CEC"/>
    <w:rsid w:val="002F59A1"/>
    <w:rsid w:val="002F6C94"/>
    <w:rsid w:val="0030385B"/>
    <w:rsid w:val="003055C5"/>
    <w:rsid w:val="00306395"/>
    <w:rsid w:val="00307491"/>
    <w:rsid w:val="003079EF"/>
    <w:rsid w:val="00310900"/>
    <w:rsid w:val="00314A81"/>
    <w:rsid w:val="00314F87"/>
    <w:rsid w:val="00320E22"/>
    <w:rsid w:val="003263B9"/>
    <w:rsid w:val="0032750F"/>
    <w:rsid w:val="00327CF4"/>
    <w:rsid w:val="003326A2"/>
    <w:rsid w:val="003341B9"/>
    <w:rsid w:val="0033687D"/>
    <w:rsid w:val="00336CFA"/>
    <w:rsid w:val="003370AA"/>
    <w:rsid w:val="0034464F"/>
    <w:rsid w:val="0034724D"/>
    <w:rsid w:val="00352BF0"/>
    <w:rsid w:val="003531CA"/>
    <w:rsid w:val="00354BC7"/>
    <w:rsid w:val="00354FB1"/>
    <w:rsid w:val="0035657F"/>
    <w:rsid w:val="00356C53"/>
    <w:rsid w:val="00367FA9"/>
    <w:rsid w:val="00370A3B"/>
    <w:rsid w:val="00370CDE"/>
    <w:rsid w:val="003720BD"/>
    <w:rsid w:val="0037275D"/>
    <w:rsid w:val="003758A6"/>
    <w:rsid w:val="003769F8"/>
    <w:rsid w:val="00380CE4"/>
    <w:rsid w:val="003830C8"/>
    <w:rsid w:val="00384891"/>
    <w:rsid w:val="00386F2B"/>
    <w:rsid w:val="0038781F"/>
    <w:rsid w:val="00387B61"/>
    <w:rsid w:val="0039205D"/>
    <w:rsid w:val="003945C7"/>
    <w:rsid w:val="003955C1"/>
    <w:rsid w:val="00396C70"/>
    <w:rsid w:val="003A0C7B"/>
    <w:rsid w:val="003A1F7B"/>
    <w:rsid w:val="003A33F4"/>
    <w:rsid w:val="003A4AE4"/>
    <w:rsid w:val="003A7A0E"/>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53C"/>
    <w:rsid w:val="003D68F9"/>
    <w:rsid w:val="003E26DC"/>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5C37"/>
    <w:rsid w:val="00423337"/>
    <w:rsid w:val="00424E28"/>
    <w:rsid w:val="00431319"/>
    <w:rsid w:val="004347A7"/>
    <w:rsid w:val="00436492"/>
    <w:rsid w:val="00436BAD"/>
    <w:rsid w:val="00436EF7"/>
    <w:rsid w:val="00441106"/>
    <w:rsid w:val="0044255A"/>
    <w:rsid w:val="00443350"/>
    <w:rsid w:val="0045141B"/>
    <w:rsid w:val="004523AB"/>
    <w:rsid w:val="00452FE4"/>
    <w:rsid w:val="0045356A"/>
    <w:rsid w:val="00453855"/>
    <w:rsid w:val="004542C9"/>
    <w:rsid w:val="00454F7B"/>
    <w:rsid w:val="00460389"/>
    <w:rsid w:val="00460DBE"/>
    <w:rsid w:val="004623D0"/>
    <w:rsid w:val="0046309B"/>
    <w:rsid w:val="00464AD3"/>
    <w:rsid w:val="00470F5A"/>
    <w:rsid w:val="00472CC6"/>
    <w:rsid w:val="00474E23"/>
    <w:rsid w:val="004769FA"/>
    <w:rsid w:val="004779CF"/>
    <w:rsid w:val="00490CD7"/>
    <w:rsid w:val="004A1FC9"/>
    <w:rsid w:val="004A21E4"/>
    <w:rsid w:val="004A46C2"/>
    <w:rsid w:val="004A5BE7"/>
    <w:rsid w:val="004A61A3"/>
    <w:rsid w:val="004A63B8"/>
    <w:rsid w:val="004A6F3A"/>
    <w:rsid w:val="004A73A0"/>
    <w:rsid w:val="004B08D2"/>
    <w:rsid w:val="004B3AD9"/>
    <w:rsid w:val="004B3CE4"/>
    <w:rsid w:val="004B4185"/>
    <w:rsid w:val="004B6926"/>
    <w:rsid w:val="004B7266"/>
    <w:rsid w:val="004C1714"/>
    <w:rsid w:val="004C1FE1"/>
    <w:rsid w:val="004C2E6B"/>
    <w:rsid w:val="004C3108"/>
    <w:rsid w:val="004D0567"/>
    <w:rsid w:val="004D0E78"/>
    <w:rsid w:val="004D1D69"/>
    <w:rsid w:val="004D3169"/>
    <w:rsid w:val="004D4AB4"/>
    <w:rsid w:val="004D7543"/>
    <w:rsid w:val="004D7915"/>
    <w:rsid w:val="004E4333"/>
    <w:rsid w:val="004E748D"/>
    <w:rsid w:val="004E7B26"/>
    <w:rsid w:val="004F00A1"/>
    <w:rsid w:val="004F07AE"/>
    <w:rsid w:val="004F0D79"/>
    <w:rsid w:val="004F2B0F"/>
    <w:rsid w:val="004F4B87"/>
    <w:rsid w:val="004F58B4"/>
    <w:rsid w:val="00501C87"/>
    <w:rsid w:val="00504AFB"/>
    <w:rsid w:val="00507EF9"/>
    <w:rsid w:val="005140EA"/>
    <w:rsid w:val="00515330"/>
    <w:rsid w:val="00517422"/>
    <w:rsid w:val="00517EEF"/>
    <w:rsid w:val="005217C3"/>
    <w:rsid w:val="00521CE9"/>
    <w:rsid w:val="00521EA5"/>
    <w:rsid w:val="005234CC"/>
    <w:rsid w:val="0052356F"/>
    <w:rsid w:val="00523E75"/>
    <w:rsid w:val="00524F49"/>
    <w:rsid w:val="005274EB"/>
    <w:rsid w:val="00531B07"/>
    <w:rsid w:val="00535E84"/>
    <w:rsid w:val="00540BB7"/>
    <w:rsid w:val="00540CE3"/>
    <w:rsid w:val="00540E69"/>
    <w:rsid w:val="00542167"/>
    <w:rsid w:val="00542F04"/>
    <w:rsid w:val="00544A1D"/>
    <w:rsid w:val="005505E9"/>
    <w:rsid w:val="0055372C"/>
    <w:rsid w:val="00553BC2"/>
    <w:rsid w:val="00556738"/>
    <w:rsid w:val="00565170"/>
    <w:rsid w:val="00567090"/>
    <w:rsid w:val="00570026"/>
    <w:rsid w:val="0057796E"/>
    <w:rsid w:val="00583F40"/>
    <w:rsid w:val="005908B6"/>
    <w:rsid w:val="0059510E"/>
    <w:rsid w:val="00595646"/>
    <w:rsid w:val="005A0096"/>
    <w:rsid w:val="005A00C6"/>
    <w:rsid w:val="005A1AC3"/>
    <w:rsid w:val="005A3ACD"/>
    <w:rsid w:val="005B0EFA"/>
    <w:rsid w:val="005B3958"/>
    <w:rsid w:val="005B4360"/>
    <w:rsid w:val="005B69FD"/>
    <w:rsid w:val="005C13BD"/>
    <w:rsid w:val="005C4E2C"/>
    <w:rsid w:val="005C5A1F"/>
    <w:rsid w:val="005D00C2"/>
    <w:rsid w:val="005D4E1F"/>
    <w:rsid w:val="005D6798"/>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69EA"/>
    <w:rsid w:val="00640CA2"/>
    <w:rsid w:val="0064118C"/>
    <w:rsid w:val="0064182C"/>
    <w:rsid w:val="00641CA5"/>
    <w:rsid w:val="006431E7"/>
    <w:rsid w:val="0064369B"/>
    <w:rsid w:val="006441F3"/>
    <w:rsid w:val="00645D1A"/>
    <w:rsid w:val="00647935"/>
    <w:rsid w:val="006479CB"/>
    <w:rsid w:val="00652BB9"/>
    <w:rsid w:val="006539A1"/>
    <w:rsid w:val="00653B95"/>
    <w:rsid w:val="00653F60"/>
    <w:rsid w:val="00662A95"/>
    <w:rsid w:val="006634B5"/>
    <w:rsid w:val="00663C01"/>
    <w:rsid w:val="00665A3B"/>
    <w:rsid w:val="0067036D"/>
    <w:rsid w:val="0067335A"/>
    <w:rsid w:val="0067573F"/>
    <w:rsid w:val="006773A8"/>
    <w:rsid w:val="0068219F"/>
    <w:rsid w:val="0068520B"/>
    <w:rsid w:val="00685B03"/>
    <w:rsid w:val="00686F92"/>
    <w:rsid w:val="00691EB4"/>
    <w:rsid w:val="006956BC"/>
    <w:rsid w:val="006A0A8A"/>
    <w:rsid w:val="006A6344"/>
    <w:rsid w:val="006B090B"/>
    <w:rsid w:val="006B0E55"/>
    <w:rsid w:val="006B1DCA"/>
    <w:rsid w:val="006B3CC4"/>
    <w:rsid w:val="006B3DA0"/>
    <w:rsid w:val="006B3FE1"/>
    <w:rsid w:val="006B6A6A"/>
    <w:rsid w:val="006B6E47"/>
    <w:rsid w:val="006B7333"/>
    <w:rsid w:val="006C0781"/>
    <w:rsid w:val="006C179B"/>
    <w:rsid w:val="006D0E19"/>
    <w:rsid w:val="006D351F"/>
    <w:rsid w:val="006D77C0"/>
    <w:rsid w:val="006E09BB"/>
    <w:rsid w:val="006E1F81"/>
    <w:rsid w:val="006E29C7"/>
    <w:rsid w:val="006E54EF"/>
    <w:rsid w:val="006E55EC"/>
    <w:rsid w:val="006E5ADC"/>
    <w:rsid w:val="006E6422"/>
    <w:rsid w:val="006F1322"/>
    <w:rsid w:val="006F39F9"/>
    <w:rsid w:val="006F65F1"/>
    <w:rsid w:val="00700D67"/>
    <w:rsid w:val="007036D7"/>
    <w:rsid w:val="00707FAE"/>
    <w:rsid w:val="00711121"/>
    <w:rsid w:val="00711AE7"/>
    <w:rsid w:val="00711B52"/>
    <w:rsid w:val="00713DE8"/>
    <w:rsid w:val="00714E97"/>
    <w:rsid w:val="00716337"/>
    <w:rsid w:val="00720FE5"/>
    <w:rsid w:val="00724EF4"/>
    <w:rsid w:val="007279A6"/>
    <w:rsid w:val="00733ED1"/>
    <w:rsid w:val="00737571"/>
    <w:rsid w:val="007437CB"/>
    <w:rsid w:val="00743877"/>
    <w:rsid w:val="007460F3"/>
    <w:rsid w:val="00750274"/>
    <w:rsid w:val="007507A2"/>
    <w:rsid w:val="00750D57"/>
    <w:rsid w:val="0075375B"/>
    <w:rsid w:val="00762680"/>
    <w:rsid w:val="00763E57"/>
    <w:rsid w:val="00765AC2"/>
    <w:rsid w:val="00767437"/>
    <w:rsid w:val="00771FE5"/>
    <w:rsid w:val="00773045"/>
    <w:rsid w:val="00776851"/>
    <w:rsid w:val="0077744A"/>
    <w:rsid w:val="00777D6F"/>
    <w:rsid w:val="00781D8F"/>
    <w:rsid w:val="007821A1"/>
    <w:rsid w:val="0078282B"/>
    <w:rsid w:val="0078295A"/>
    <w:rsid w:val="00784AC2"/>
    <w:rsid w:val="007935CA"/>
    <w:rsid w:val="007A3A69"/>
    <w:rsid w:val="007A3E8A"/>
    <w:rsid w:val="007A5449"/>
    <w:rsid w:val="007A5BB6"/>
    <w:rsid w:val="007A7752"/>
    <w:rsid w:val="007B1A09"/>
    <w:rsid w:val="007B1F56"/>
    <w:rsid w:val="007B2AD9"/>
    <w:rsid w:val="007B5A5C"/>
    <w:rsid w:val="007B7E4C"/>
    <w:rsid w:val="007C0E6C"/>
    <w:rsid w:val="007C28BE"/>
    <w:rsid w:val="007C504C"/>
    <w:rsid w:val="007C556C"/>
    <w:rsid w:val="007C6204"/>
    <w:rsid w:val="007C6CE6"/>
    <w:rsid w:val="007C6F3E"/>
    <w:rsid w:val="007D4B0C"/>
    <w:rsid w:val="007D7490"/>
    <w:rsid w:val="007E0D6A"/>
    <w:rsid w:val="007E7B1D"/>
    <w:rsid w:val="007F0C9C"/>
    <w:rsid w:val="007F1C32"/>
    <w:rsid w:val="007F461B"/>
    <w:rsid w:val="00800329"/>
    <w:rsid w:val="0080141D"/>
    <w:rsid w:val="00802686"/>
    <w:rsid w:val="008041E8"/>
    <w:rsid w:val="00805121"/>
    <w:rsid w:val="0080674D"/>
    <w:rsid w:val="008102D4"/>
    <w:rsid w:val="00812111"/>
    <w:rsid w:val="00813EF0"/>
    <w:rsid w:val="008162EB"/>
    <w:rsid w:val="00822056"/>
    <w:rsid w:val="00822C02"/>
    <w:rsid w:val="00832FED"/>
    <w:rsid w:val="00833126"/>
    <w:rsid w:val="00835200"/>
    <w:rsid w:val="00840331"/>
    <w:rsid w:val="00841623"/>
    <w:rsid w:val="00841E0F"/>
    <w:rsid w:val="00841FA4"/>
    <w:rsid w:val="00846A39"/>
    <w:rsid w:val="00847559"/>
    <w:rsid w:val="00847E3F"/>
    <w:rsid w:val="00850572"/>
    <w:rsid w:val="008507B1"/>
    <w:rsid w:val="00855A32"/>
    <w:rsid w:val="0086034E"/>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93782"/>
    <w:rsid w:val="008A0D1F"/>
    <w:rsid w:val="008A121B"/>
    <w:rsid w:val="008A1E89"/>
    <w:rsid w:val="008A4209"/>
    <w:rsid w:val="008A7EA1"/>
    <w:rsid w:val="008B04E4"/>
    <w:rsid w:val="008B34D0"/>
    <w:rsid w:val="008B3A44"/>
    <w:rsid w:val="008B4BEE"/>
    <w:rsid w:val="008C2961"/>
    <w:rsid w:val="008C5316"/>
    <w:rsid w:val="008C533E"/>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249B"/>
    <w:rsid w:val="00903938"/>
    <w:rsid w:val="00903E3A"/>
    <w:rsid w:val="00903FB5"/>
    <w:rsid w:val="009100A9"/>
    <w:rsid w:val="00910967"/>
    <w:rsid w:val="0091435A"/>
    <w:rsid w:val="009202BD"/>
    <w:rsid w:val="00921A98"/>
    <w:rsid w:val="00922116"/>
    <w:rsid w:val="009247B3"/>
    <w:rsid w:val="009267B0"/>
    <w:rsid w:val="009278C1"/>
    <w:rsid w:val="00943811"/>
    <w:rsid w:val="00944DEC"/>
    <w:rsid w:val="00945AB9"/>
    <w:rsid w:val="00946814"/>
    <w:rsid w:val="00951540"/>
    <w:rsid w:val="009546A8"/>
    <w:rsid w:val="009550E9"/>
    <w:rsid w:val="00963747"/>
    <w:rsid w:val="00963EC3"/>
    <w:rsid w:val="0096653C"/>
    <w:rsid w:val="00967707"/>
    <w:rsid w:val="00967BFC"/>
    <w:rsid w:val="00970B9B"/>
    <w:rsid w:val="009711D1"/>
    <w:rsid w:val="0097620F"/>
    <w:rsid w:val="00983330"/>
    <w:rsid w:val="00983FF2"/>
    <w:rsid w:val="00985968"/>
    <w:rsid w:val="009922E3"/>
    <w:rsid w:val="00994B05"/>
    <w:rsid w:val="00994F72"/>
    <w:rsid w:val="009A1E77"/>
    <w:rsid w:val="009A2259"/>
    <w:rsid w:val="009A4595"/>
    <w:rsid w:val="009B1E83"/>
    <w:rsid w:val="009B499E"/>
    <w:rsid w:val="009B4EB4"/>
    <w:rsid w:val="009B7612"/>
    <w:rsid w:val="009B789B"/>
    <w:rsid w:val="009C00D7"/>
    <w:rsid w:val="009C0B75"/>
    <w:rsid w:val="009C0E39"/>
    <w:rsid w:val="009C2FB0"/>
    <w:rsid w:val="009C3508"/>
    <w:rsid w:val="009C5128"/>
    <w:rsid w:val="009C65A8"/>
    <w:rsid w:val="009C6FE0"/>
    <w:rsid w:val="009D5841"/>
    <w:rsid w:val="009D5A93"/>
    <w:rsid w:val="009E0BA9"/>
    <w:rsid w:val="009E1E61"/>
    <w:rsid w:val="009E5B12"/>
    <w:rsid w:val="009E735F"/>
    <w:rsid w:val="009F1618"/>
    <w:rsid w:val="009F4555"/>
    <w:rsid w:val="009F45FE"/>
    <w:rsid w:val="00A00BAA"/>
    <w:rsid w:val="00A00EB8"/>
    <w:rsid w:val="00A03975"/>
    <w:rsid w:val="00A039D3"/>
    <w:rsid w:val="00A03C8C"/>
    <w:rsid w:val="00A06890"/>
    <w:rsid w:val="00A10CC2"/>
    <w:rsid w:val="00A1292A"/>
    <w:rsid w:val="00A12F53"/>
    <w:rsid w:val="00A24E4A"/>
    <w:rsid w:val="00A24FFA"/>
    <w:rsid w:val="00A256A1"/>
    <w:rsid w:val="00A27E6A"/>
    <w:rsid w:val="00A30093"/>
    <w:rsid w:val="00A30C82"/>
    <w:rsid w:val="00A3272D"/>
    <w:rsid w:val="00A351FA"/>
    <w:rsid w:val="00A35A7D"/>
    <w:rsid w:val="00A372AF"/>
    <w:rsid w:val="00A406DA"/>
    <w:rsid w:val="00A42BD2"/>
    <w:rsid w:val="00A42FDA"/>
    <w:rsid w:val="00A43531"/>
    <w:rsid w:val="00A47084"/>
    <w:rsid w:val="00A526D3"/>
    <w:rsid w:val="00A53BBB"/>
    <w:rsid w:val="00A54966"/>
    <w:rsid w:val="00A6076E"/>
    <w:rsid w:val="00A61A02"/>
    <w:rsid w:val="00A61A2D"/>
    <w:rsid w:val="00A63E11"/>
    <w:rsid w:val="00A662D9"/>
    <w:rsid w:val="00A72D99"/>
    <w:rsid w:val="00A73CFD"/>
    <w:rsid w:val="00A8258F"/>
    <w:rsid w:val="00A935C8"/>
    <w:rsid w:val="00A9736F"/>
    <w:rsid w:val="00AA1ECB"/>
    <w:rsid w:val="00AA2C7C"/>
    <w:rsid w:val="00AA5A67"/>
    <w:rsid w:val="00AA67A3"/>
    <w:rsid w:val="00AB0A61"/>
    <w:rsid w:val="00AB11F1"/>
    <w:rsid w:val="00AB3BA6"/>
    <w:rsid w:val="00AB798F"/>
    <w:rsid w:val="00AC17C7"/>
    <w:rsid w:val="00AC3114"/>
    <w:rsid w:val="00AC3A86"/>
    <w:rsid w:val="00AC459C"/>
    <w:rsid w:val="00AD1A37"/>
    <w:rsid w:val="00AD54A1"/>
    <w:rsid w:val="00AD6016"/>
    <w:rsid w:val="00AD7D30"/>
    <w:rsid w:val="00AE03D5"/>
    <w:rsid w:val="00AE1D7F"/>
    <w:rsid w:val="00AE1EFE"/>
    <w:rsid w:val="00AE4E07"/>
    <w:rsid w:val="00AE7972"/>
    <w:rsid w:val="00AF0759"/>
    <w:rsid w:val="00AF2B15"/>
    <w:rsid w:val="00AF5292"/>
    <w:rsid w:val="00AF5422"/>
    <w:rsid w:val="00B05AB8"/>
    <w:rsid w:val="00B069A2"/>
    <w:rsid w:val="00B07C1A"/>
    <w:rsid w:val="00B11B4D"/>
    <w:rsid w:val="00B125E8"/>
    <w:rsid w:val="00B17156"/>
    <w:rsid w:val="00B17B0D"/>
    <w:rsid w:val="00B17C0E"/>
    <w:rsid w:val="00B20BD1"/>
    <w:rsid w:val="00B21438"/>
    <w:rsid w:val="00B24523"/>
    <w:rsid w:val="00B32A2F"/>
    <w:rsid w:val="00B367CE"/>
    <w:rsid w:val="00B377BB"/>
    <w:rsid w:val="00B409D4"/>
    <w:rsid w:val="00B4153F"/>
    <w:rsid w:val="00B416CE"/>
    <w:rsid w:val="00B43DA5"/>
    <w:rsid w:val="00B44118"/>
    <w:rsid w:val="00B4665E"/>
    <w:rsid w:val="00B46F68"/>
    <w:rsid w:val="00B5082F"/>
    <w:rsid w:val="00B523FB"/>
    <w:rsid w:val="00B569A7"/>
    <w:rsid w:val="00B56DC8"/>
    <w:rsid w:val="00B605C7"/>
    <w:rsid w:val="00B619CB"/>
    <w:rsid w:val="00B61E2C"/>
    <w:rsid w:val="00B66085"/>
    <w:rsid w:val="00B75B96"/>
    <w:rsid w:val="00B7758B"/>
    <w:rsid w:val="00B80982"/>
    <w:rsid w:val="00B80F2C"/>
    <w:rsid w:val="00B83A14"/>
    <w:rsid w:val="00B83B8B"/>
    <w:rsid w:val="00B84273"/>
    <w:rsid w:val="00B84CB5"/>
    <w:rsid w:val="00B84EEA"/>
    <w:rsid w:val="00B86D15"/>
    <w:rsid w:val="00B86F19"/>
    <w:rsid w:val="00B916B0"/>
    <w:rsid w:val="00B93874"/>
    <w:rsid w:val="00B94767"/>
    <w:rsid w:val="00B94988"/>
    <w:rsid w:val="00B96711"/>
    <w:rsid w:val="00BA01E5"/>
    <w:rsid w:val="00BA2E7D"/>
    <w:rsid w:val="00BA3843"/>
    <w:rsid w:val="00BA6EDF"/>
    <w:rsid w:val="00BA7D7F"/>
    <w:rsid w:val="00BB062C"/>
    <w:rsid w:val="00BB159C"/>
    <w:rsid w:val="00BB49ED"/>
    <w:rsid w:val="00BB67AD"/>
    <w:rsid w:val="00BB7266"/>
    <w:rsid w:val="00BC55D6"/>
    <w:rsid w:val="00BC712A"/>
    <w:rsid w:val="00BC774B"/>
    <w:rsid w:val="00BD39BD"/>
    <w:rsid w:val="00BD47A5"/>
    <w:rsid w:val="00BD5702"/>
    <w:rsid w:val="00BE0E0C"/>
    <w:rsid w:val="00BE13C9"/>
    <w:rsid w:val="00BE27E7"/>
    <w:rsid w:val="00BE3A84"/>
    <w:rsid w:val="00BE61E4"/>
    <w:rsid w:val="00BE6BEC"/>
    <w:rsid w:val="00BE787C"/>
    <w:rsid w:val="00BE7EEB"/>
    <w:rsid w:val="00BF1C56"/>
    <w:rsid w:val="00C00334"/>
    <w:rsid w:val="00C00BA4"/>
    <w:rsid w:val="00C02BB6"/>
    <w:rsid w:val="00C074A3"/>
    <w:rsid w:val="00C07DBD"/>
    <w:rsid w:val="00C10971"/>
    <w:rsid w:val="00C118F3"/>
    <w:rsid w:val="00C11948"/>
    <w:rsid w:val="00C144B1"/>
    <w:rsid w:val="00C16C72"/>
    <w:rsid w:val="00C17457"/>
    <w:rsid w:val="00C20909"/>
    <w:rsid w:val="00C225E7"/>
    <w:rsid w:val="00C258E4"/>
    <w:rsid w:val="00C26EB6"/>
    <w:rsid w:val="00C27B44"/>
    <w:rsid w:val="00C30863"/>
    <w:rsid w:val="00C30BE4"/>
    <w:rsid w:val="00C368BE"/>
    <w:rsid w:val="00C40BC7"/>
    <w:rsid w:val="00C412B5"/>
    <w:rsid w:val="00C418AB"/>
    <w:rsid w:val="00C42EF7"/>
    <w:rsid w:val="00C45D89"/>
    <w:rsid w:val="00C52D63"/>
    <w:rsid w:val="00C56967"/>
    <w:rsid w:val="00C61781"/>
    <w:rsid w:val="00C62E1A"/>
    <w:rsid w:val="00C64598"/>
    <w:rsid w:val="00C65331"/>
    <w:rsid w:val="00C80813"/>
    <w:rsid w:val="00C81A3E"/>
    <w:rsid w:val="00C81ACD"/>
    <w:rsid w:val="00C82D24"/>
    <w:rsid w:val="00C82D4E"/>
    <w:rsid w:val="00C8563C"/>
    <w:rsid w:val="00C87602"/>
    <w:rsid w:val="00C92482"/>
    <w:rsid w:val="00C97AB0"/>
    <w:rsid w:val="00C97E2F"/>
    <w:rsid w:val="00C97E55"/>
    <w:rsid w:val="00CA2D53"/>
    <w:rsid w:val="00CA5E9D"/>
    <w:rsid w:val="00CA5EE7"/>
    <w:rsid w:val="00CB0BEA"/>
    <w:rsid w:val="00CB1B7E"/>
    <w:rsid w:val="00CB7FA3"/>
    <w:rsid w:val="00CC0746"/>
    <w:rsid w:val="00CC39DF"/>
    <w:rsid w:val="00CC6B4B"/>
    <w:rsid w:val="00CC6EE1"/>
    <w:rsid w:val="00CD1301"/>
    <w:rsid w:val="00CD45E5"/>
    <w:rsid w:val="00CD4B38"/>
    <w:rsid w:val="00CD4C77"/>
    <w:rsid w:val="00CE09C0"/>
    <w:rsid w:val="00CF0AC5"/>
    <w:rsid w:val="00CF0E5F"/>
    <w:rsid w:val="00CF1269"/>
    <w:rsid w:val="00CF29D3"/>
    <w:rsid w:val="00CF3821"/>
    <w:rsid w:val="00CF4E8A"/>
    <w:rsid w:val="00CF69EC"/>
    <w:rsid w:val="00CF6C03"/>
    <w:rsid w:val="00CF723A"/>
    <w:rsid w:val="00CF7BDD"/>
    <w:rsid w:val="00D000F7"/>
    <w:rsid w:val="00D00322"/>
    <w:rsid w:val="00D005EB"/>
    <w:rsid w:val="00D00693"/>
    <w:rsid w:val="00D02190"/>
    <w:rsid w:val="00D065F5"/>
    <w:rsid w:val="00D068F2"/>
    <w:rsid w:val="00D11E68"/>
    <w:rsid w:val="00D12119"/>
    <w:rsid w:val="00D12741"/>
    <w:rsid w:val="00D34264"/>
    <w:rsid w:val="00D354DA"/>
    <w:rsid w:val="00D354F6"/>
    <w:rsid w:val="00D359F0"/>
    <w:rsid w:val="00D363C1"/>
    <w:rsid w:val="00D40818"/>
    <w:rsid w:val="00D413FB"/>
    <w:rsid w:val="00D51950"/>
    <w:rsid w:val="00D53B9F"/>
    <w:rsid w:val="00D54E03"/>
    <w:rsid w:val="00D61E8F"/>
    <w:rsid w:val="00D62A13"/>
    <w:rsid w:val="00D654C2"/>
    <w:rsid w:val="00D66ECE"/>
    <w:rsid w:val="00D7268D"/>
    <w:rsid w:val="00D727FE"/>
    <w:rsid w:val="00D8383A"/>
    <w:rsid w:val="00D8706D"/>
    <w:rsid w:val="00D876F7"/>
    <w:rsid w:val="00D96204"/>
    <w:rsid w:val="00D96D9D"/>
    <w:rsid w:val="00D96EDA"/>
    <w:rsid w:val="00D96FF1"/>
    <w:rsid w:val="00D9752D"/>
    <w:rsid w:val="00DA105A"/>
    <w:rsid w:val="00DB0C81"/>
    <w:rsid w:val="00DB26B8"/>
    <w:rsid w:val="00DB31C5"/>
    <w:rsid w:val="00DB3760"/>
    <w:rsid w:val="00DB49A1"/>
    <w:rsid w:val="00DB4ACD"/>
    <w:rsid w:val="00DB4F85"/>
    <w:rsid w:val="00DC1F98"/>
    <w:rsid w:val="00DC6F8E"/>
    <w:rsid w:val="00DC7092"/>
    <w:rsid w:val="00DD16BF"/>
    <w:rsid w:val="00DD3183"/>
    <w:rsid w:val="00DD4ACD"/>
    <w:rsid w:val="00DE52C0"/>
    <w:rsid w:val="00DE7606"/>
    <w:rsid w:val="00DF13FE"/>
    <w:rsid w:val="00DF4D53"/>
    <w:rsid w:val="00DF53E5"/>
    <w:rsid w:val="00DF5D3C"/>
    <w:rsid w:val="00DF6F2F"/>
    <w:rsid w:val="00E007A7"/>
    <w:rsid w:val="00E01862"/>
    <w:rsid w:val="00E01EF2"/>
    <w:rsid w:val="00E01F37"/>
    <w:rsid w:val="00E02011"/>
    <w:rsid w:val="00E02EC9"/>
    <w:rsid w:val="00E04398"/>
    <w:rsid w:val="00E04A40"/>
    <w:rsid w:val="00E149F3"/>
    <w:rsid w:val="00E164B6"/>
    <w:rsid w:val="00E215FD"/>
    <w:rsid w:val="00E22548"/>
    <w:rsid w:val="00E22FFA"/>
    <w:rsid w:val="00E23988"/>
    <w:rsid w:val="00E24F1D"/>
    <w:rsid w:val="00E251A4"/>
    <w:rsid w:val="00E25B97"/>
    <w:rsid w:val="00E27872"/>
    <w:rsid w:val="00E27D48"/>
    <w:rsid w:val="00E31422"/>
    <w:rsid w:val="00E34193"/>
    <w:rsid w:val="00E4221B"/>
    <w:rsid w:val="00E43689"/>
    <w:rsid w:val="00E45A4F"/>
    <w:rsid w:val="00E46662"/>
    <w:rsid w:val="00E46C51"/>
    <w:rsid w:val="00E55596"/>
    <w:rsid w:val="00E567D2"/>
    <w:rsid w:val="00E56ADC"/>
    <w:rsid w:val="00E57409"/>
    <w:rsid w:val="00E62C38"/>
    <w:rsid w:val="00E663C6"/>
    <w:rsid w:val="00E67BAF"/>
    <w:rsid w:val="00E74A40"/>
    <w:rsid w:val="00E77CAF"/>
    <w:rsid w:val="00E8247F"/>
    <w:rsid w:val="00E845B3"/>
    <w:rsid w:val="00E87FFC"/>
    <w:rsid w:val="00E9028F"/>
    <w:rsid w:val="00E92351"/>
    <w:rsid w:val="00E942E2"/>
    <w:rsid w:val="00E95F2F"/>
    <w:rsid w:val="00E961DF"/>
    <w:rsid w:val="00E9762A"/>
    <w:rsid w:val="00EA27E9"/>
    <w:rsid w:val="00EA56B8"/>
    <w:rsid w:val="00EB4F9B"/>
    <w:rsid w:val="00EB6B41"/>
    <w:rsid w:val="00EB7031"/>
    <w:rsid w:val="00EC0407"/>
    <w:rsid w:val="00EC1064"/>
    <w:rsid w:val="00EC16C0"/>
    <w:rsid w:val="00EC5A8C"/>
    <w:rsid w:val="00EC5D86"/>
    <w:rsid w:val="00EC5DC7"/>
    <w:rsid w:val="00EC6296"/>
    <w:rsid w:val="00EC7384"/>
    <w:rsid w:val="00ED0472"/>
    <w:rsid w:val="00ED2027"/>
    <w:rsid w:val="00ED2E57"/>
    <w:rsid w:val="00ED4304"/>
    <w:rsid w:val="00ED5690"/>
    <w:rsid w:val="00ED5AD3"/>
    <w:rsid w:val="00EE0778"/>
    <w:rsid w:val="00EE61E4"/>
    <w:rsid w:val="00EE6C93"/>
    <w:rsid w:val="00EF4DD9"/>
    <w:rsid w:val="00EF57D2"/>
    <w:rsid w:val="00F00FBA"/>
    <w:rsid w:val="00F014FE"/>
    <w:rsid w:val="00F05D9D"/>
    <w:rsid w:val="00F06640"/>
    <w:rsid w:val="00F070FC"/>
    <w:rsid w:val="00F07A29"/>
    <w:rsid w:val="00F13CA6"/>
    <w:rsid w:val="00F14B31"/>
    <w:rsid w:val="00F158C4"/>
    <w:rsid w:val="00F176B1"/>
    <w:rsid w:val="00F2227D"/>
    <w:rsid w:val="00F225C8"/>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503D8"/>
    <w:rsid w:val="00F5189F"/>
    <w:rsid w:val="00F5286F"/>
    <w:rsid w:val="00F57210"/>
    <w:rsid w:val="00F65E48"/>
    <w:rsid w:val="00F664A8"/>
    <w:rsid w:val="00F706E2"/>
    <w:rsid w:val="00F724E2"/>
    <w:rsid w:val="00F731D1"/>
    <w:rsid w:val="00F83D1C"/>
    <w:rsid w:val="00F876BB"/>
    <w:rsid w:val="00F8772B"/>
    <w:rsid w:val="00F90FB6"/>
    <w:rsid w:val="00F916EE"/>
    <w:rsid w:val="00F92081"/>
    <w:rsid w:val="00F951A4"/>
    <w:rsid w:val="00F97DE1"/>
    <w:rsid w:val="00FA06A2"/>
    <w:rsid w:val="00FA167E"/>
    <w:rsid w:val="00FA1DEF"/>
    <w:rsid w:val="00FA29A5"/>
    <w:rsid w:val="00FA3D58"/>
    <w:rsid w:val="00FA41B3"/>
    <w:rsid w:val="00FB0339"/>
    <w:rsid w:val="00FB3199"/>
    <w:rsid w:val="00FB5F30"/>
    <w:rsid w:val="00FC0351"/>
    <w:rsid w:val="00FC1220"/>
    <w:rsid w:val="00FC3883"/>
    <w:rsid w:val="00FD0055"/>
    <w:rsid w:val="00FD19B6"/>
    <w:rsid w:val="00FD37F2"/>
    <w:rsid w:val="00FD3DA7"/>
    <w:rsid w:val="00FE0B28"/>
    <w:rsid w:val="00FE2DEB"/>
    <w:rsid w:val="00FE39E3"/>
    <w:rsid w:val="00FE4D58"/>
    <w:rsid w:val="00FE58A8"/>
    <w:rsid w:val="00FE595D"/>
    <w:rsid w:val="00FE678B"/>
    <w:rsid w:val="00FE705E"/>
    <w:rsid w:val="00FF13A6"/>
    <w:rsid w:val="00FF4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3711693">
      <w:bodyDiv w:val="1"/>
      <w:marLeft w:val="0"/>
      <w:marRight w:val="0"/>
      <w:marTop w:val="0"/>
      <w:marBottom w:val="0"/>
      <w:divBdr>
        <w:top w:val="none" w:sz="0" w:space="0" w:color="auto"/>
        <w:left w:val="none" w:sz="0" w:space="0" w:color="auto"/>
        <w:bottom w:val="none" w:sz="0" w:space="0" w:color="auto"/>
        <w:right w:val="none" w:sz="0" w:space="0" w:color="auto"/>
      </w:divBdr>
      <w:divsChild>
        <w:div w:id="755631101">
          <w:marLeft w:val="0"/>
          <w:marRight w:val="0"/>
          <w:marTop w:val="188"/>
          <w:marBottom w:val="125"/>
          <w:divBdr>
            <w:top w:val="none" w:sz="0" w:space="0" w:color="auto"/>
            <w:left w:val="none" w:sz="0" w:space="0" w:color="auto"/>
            <w:bottom w:val="none" w:sz="0" w:space="0" w:color="auto"/>
            <w:right w:val="none" w:sz="0" w:space="0" w:color="auto"/>
          </w:divBdr>
        </w:div>
      </w:divsChild>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17542941">
      <w:bodyDiv w:val="1"/>
      <w:marLeft w:val="0"/>
      <w:marRight w:val="0"/>
      <w:marTop w:val="0"/>
      <w:marBottom w:val="0"/>
      <w:divBdr>
        <w:top w:val="none" w:sz="0" w:space="0" w:color="auto"/>
        <w:left w:val="none" w:sz="0" w:space="0" w:color="auto"/>
        <w:bottom w:val="none" w:sz="0" w:space="0" w:color="auto"/>
        <w:right w:val="none" w:sz="0" w:space="0" w:color="auto"/>
      </w:divBdr>
      <w:divsChild>
        <w:div w:id="1014304773">
          <w:marLeft w:val="0"/>
          <w:marRight w:val="0"/>
          <w:marTop w:val="0"/>
          <w:marBottom w:val="0"/>
          <w:divBdr>
            <w:top w:val="none" w:sz="0" w:space="0" w:color="auto"/>
            <w:left w:val="none" w:sz="0" w:space="0" w:color="auto"/>
            <w:bottom w:val="none" w:sz="0" w:space="0" w:color="auto"/>
            <w:right w:val="none" w:sz="0" w:space="0" w:color="auto"/>
          </w:divBdr>
        </w:div>
      </w:divsChild>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5211183">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054190">
      <w:bodyDiv w:val="1"/>
      <w:marLeft w:val="0"/>
      <w:marRight w:val="0"/>
      <w:marTop w:val="0"/>
      <w:marBottom w:val="0"/>
      <w:divBdr>
        <w:top w:val="none" w:sz="0" w:space="0" w:color="auto"/>
        <w:left w:val="none" w:sz="0" w:space="0" w:color="auto"/>
        <w:bottom w:val="none" w:sz="0" w:space="0" w:color="auto"/>
        <w:right w:val="none" w:sz="0" w:space="0" w:color="auto"/>
      </w:divBdr>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49008079">
      <w:bodyDiv w:val="1"/>
      <w:marLeft w:val="0"/>
      <w:marRight w:val="0"/>
      <w:marTop w:val="0"/>
      <w:marBottom w:val="0"/>
      <w:divBdr>
        <w:top w:val="none" w:sz="0" w:space="0" w:color="auto"/>
        <w:left w:val="none" w:sz="0" w:space="0" w:color="auto"/>
        <w:bottom w:val="none" w:sz="0" w:space="0" w:color="auto"/>
        <w:right w:val="none" w:sz="0" w:space="0" w:color="auto"/>
      </w:divBdr>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A8A59-04B0-4C86-A852-310796EF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7</cp:revision>
  <cp:lastPrinted>2017-12-07T17:38:00Z</cp:lastPrinted>
  <dcterms:created xsi:type="dcterms:W3CDTF">2017-12-07T15:42:00Z</dcterms:created>
  <dcterms:modified xsi:type="dcterms:W3CDTF">2017-12-07T17:38:00Z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