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C1" w:rsidRDefault="003D78C1" w:rsidP="003D78C1">
      <w:pPr>
        <w:pBdr>
          <w:bottom w:val="single" w:sz="12" w:space="1" w:color="auto"/>
        </w:pBdr>
        <w:jc w:val="center"/>
      </w:pPr>
      <w:r>
        <w:rPr>
          <w:noProof/>
        </w:rPr>
        <w:drawing>
          <wp:inline distT="0" distB="0" distL="0" distR="0">
            <wp:extent cx="3390900" cy="929640"/>
            <wp:effectExtent l="0" t="0" r="0" b="3810"/>
            <wp:docPr id="1" name="Picture 1" descr="Pennsylvania Society of Tax &amp; Account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Society of Tax &amp; Accounting Profession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929640"/>
                    </a:xfrm>
                    <a:prstGeom prst="rect">
                      <a:avLst/>
                    </a:prstGeom>
                    <a:noFill/>
                    <a:ln>
                      <a:noFill/>
                    </a:ln>
                  </pic:spPr>
                </pic:pic>
              </a:graphicData>
            </a:graphic>
          </wp:inline>
        </w:drawing>
      </w:r>
    </w:p>
    <w:p w:rsidR="003D78C1" w:rsidRDefault="003D78C1" w:rsidP="00267FF4">
      <w:pPr>
        <w:jc w:val="center"/>
      </w:pPr>
    </w:p>
    <w:p w:rsidR="00267FF4" w:rsidRPr="006668CE" w:rsidRDefault="00267FF4" w:rsidP="00267FF4">
      <w:pPr>
        <w:jc w:val="center"/>
        <w:rPr>
          <w:rFonts w:ascii="Verdana" w:hAnsi="Verdana"/>
          <w:b/>
        </w:rPr>
      </w:pPr>
      <w:r w:rsidRPr="006668CE">
        <w:rPr>
          <w:rFonts w:ascii="Verdana" w:hAnsi="Verdana"/>
          <w:b/>
        </w:rPr>
        <w:t xml:space="preserve">Week of </w:t>
      </w:r>
      <w:r w:rsidR="00A858F6">
        <w:rPr>
          <w:rFonts w:ascii="Verdana" w:hAnsi="Verdana"/>
          <w:b/>
        </w:rPr>
        <w:t>February 29</w:t>
      </w:r>
      <w:r w:rsidR="00D443E9" w:rsidRPr="006668CE">
        <w:rPr>
          <w:rFonts w:ascii="Verdana" w:hAnsi="Verdana"/>
          <w:b/>
        </w:rPr>
        <w:t xml:space="preserve">, </w:t>
      </w:r>
      <w:r w:rsidRPr="006668CE">
        <w:rPr>
          <w:rFonts w:ascii="Verdana" w:hAnsi="Verdana"/>
          <w:b/>
        </w:rPr>
        <w:t>201</w:t>
      </w:r>
      <w:r w:rsidR="00B31963">
        <w:rPr>
          <w:rFonts w:ascii="Verdana" w:hAnsi="Verdana"/>
          <w:b/>
        </w:rPr>
        <w:t>6</w:t>
      </w:r>
      <w:bookmarkStart w:id="0" w:name="_GoBack"/>
      <w:bookmarkEnd w:id="0"/>
    </w:p>
    <w:p w:rsidR="00267FF4" w:rsidRDefault="00267FF4" w:rsidP="00267FF4">
      <w:pPr>
        <w:jc w:val="center"/>
        <w:rPr>
          <w:rFonts w:ascii="Verdana" w:hAnsi="Verdana"/>
        </w:rPr>
      </w:pPr>
    </w:p>
    <w:p w:rsidR="006668CE" w:rsidRPr="006668CE" w:rsidRDefault="00B31963" w:rsidP="006668CE">
      <w:pPr>
        <w:tabs>
          <w:tab w:val="left" w:pos="3840"/>
        </w:tabs>
        <w:jc w:val="center"/>
        <w:rPr>
          <w:rFonts w:ascii="Verdana" w:hAnsi="Verdana"/>
          <w:b/>
          <w:sz w:val="24"/>
          <w:u w:val="single"/>
        </w:rPr>
      </w:pPr>
      <w:r>
        <w:rPr>
          <w:rFonts w:ascii="Verdana" w:hAnsi="Verdana"/>
          <w:b/>
          <w:sz w:val="24"/>
          <w:u w:val="single"/>
        </w:rPr>
        <w:t xml:space="preserve">PSTAP LEGISLATIVE UPDATE – HARRISBURG </w:t>
      </w:r>
      <w:r w:rsidR="00267FF4">
        <w:rPr>
          <w:rFonts w:ascii="Verdana" w:hAnsi="Verdana"/>
          <w:b/>
          <w:sz w:val="24"/>
          <w:u w:val="single"/>
        </w:rPr>
        <w:t>HEADLINES</w:t>
      </w:r>
    </w:p>
    <w:p w:rsidR="004E7E02" w:rsidRDefault="004E7E02" w:rsidP="004E7E02">
      <w:pPr>
        <w:rPr>
          <w:rFonts w:ascii="Verdana" w:hAnsi="Verdana"/>
          <w:b/>
          <w:sz w:val="20"/>
          <w:szCs w:val="20"/>
        </w:rPr>
      </w:pPr>
    </w:p>
    <w:p w:rsidR="00A54473" w:rsidRDefault="00A54473" w:rsidP="00FC59C7">
      <w:pPr>
        <w:shd w:val="clear" w:color="auto" w:fill="F8F9FB"/>
        <w:jc w:val="both"/>
        <w:textAlignment w:val="baseline"/>
        <w:rPr>
          <w:rFonts w:ascii="Verdana" w:eastAsia="Times New Roman" w:hAnsi="Verdana" w:cs="Courier New"/>
          <w:sz w:val="20"/>
          <w:szCs w:val="20"/>
        </w:rPr>
      </w:pPr>
    </w:p>
    <w:p w:rsidR="00A54473" w:rsidRPr="00A54473" w:rsidRDefault="00A54473" w:rsidP="00A54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sz w:val="20"/>
          <w:szCs w:val="20"/>
          <w:u w:val="single"/>
        </w:rPr>
      </w:pPr>
      <w:r w:rsidRPr="00A54473">
        <w:rPr>
          <w:rFonts w:ascii="Verdana" w:eastAsia="Times New Roman" w:hAnsi="Verdana" w:cs="Courier New"/>
          <w:b/>
          <w:sz w:val="20"/>
          <w:szCs w:val="20"/>
          <w:u w:val="single"/>
        </w:rPr>
        <w:t>REP. GERGELY CHARGED IN CONNECTION WITH ILLEGAL GAMBLING RING</w:t>
      </w:r>
      <w:r w:rsidRPr="00A54473">
        <w:rPr>
          <w:rFonts w:ascii="Verdana" w:eastAsia="Times New Roman" w:hAnsi="Verdana" w:cs="Courier New"/>
          <w:sz w:val="20"/>
          <w:szCs w:val="20"/>
          <w:u w:val="single"/>
        </w:rPr>
        <w:t xml:space="preserve"> </w:t>
      </w:r>
    </w:p>
    <w:p w:rsidR="00A54473" w:rsidRDefault="00A54473" w:rsidP="00A54473">
      <w:pPr>
        <w:shd w:val="clear" w:color="auto" w:fill="F8F9FB"/>
        <w:jc w:val="both"/>
        <w:textAlignment w:val="baseline"/>
        <w:rPr>
          <w:rFonts w:ascii="Verdana" w:eastAsia="Times New Roman" w:hAnsi="Verdana" w:cs="Courier New"/>
          <w:sz w:val="20"/>
          <w:szCs w:val="20"/>
        </w:rPr>
      </w:pPr>
      <w:r w:rsidRPr="00A54473">
        <w:rPr>
          <w:rFonts w:ascii="Verdana" w:eastAsia="Times New Roman" w:hAnsi="Verdana" w:cs="Courier New"/>
          <w:sz w:val="20"/>
          <w:szCs w:val="20"/>
        </w:rPr>
        <w:t xml:space="preserve">Criminal charges have been filed against Representative Marc J. </w:t>
      </w:r>
      <w:proofErr w:type="spellStart"/>
      <w:r w:rsidRPr="00A54473">
        <w:rPr>
          <w:rFonts w:ascii="Verdana" w:eastAsia="Times New Roman" w:hAnsi="Verdana" w:cs="Courier New"/>
          <w:sz w:val="20"/>
          <w:szCs w:val="20"/>
        </w:rPr>
        <w:t>Gergley</w:t>
      </w:r>
      <w:proofErr w:type="spellEnd"/>
      <w:r w:rsidRPr="00A54473">
        <w:rPr>
          <w:rFonts w:ascii="Verdana" w:eastAsia="Times New Roman" w:hAnsi="Verdana" w:cs="Courier New"/>
          <w:sz w:val="20"/>
          <w:szCs w:val="20"/>
        </w:rPr>
        <w:t xml:space="preserve"> (D-Allegheny County) for allegedly using his position as an elected official to assist a family friend with maintaining an illegal gambling ri</w:t>
      </w:r>
      <w:r w:rsidR="00086B95">
        <w:rPr>
          <w:rFonts w:ascii="Verdana" w:eastAsia="Times New Roman" w:hAnsi="Verdana" w:cs="Courier New"/>
          <w:sz w:val="20"/>
          <w:szCs w:val="20"/>
        </w:rPr>
        <w:t xml:space="preserve">ng.  The charges filed against Rep. </w:t>
      </w:r>
      <w:proofErr w:type="spellStart"/>
      <w:r w:rsidR="00086B95">
        <w:rPr>
          <w:rFonts w:ascii="Verdana" w:eastAsia="Times New Roman" w:hAnsi="Verdana" w:cs="Courier New"/>
          <w:sz w:val="20"/>
          <w:szCs w:val="20"/>
        </w:rPr>
        <w:t>Ger</w:t>
      </w:r>
      <w:r w:rsidRPr="00A54473">
        <w:rPr>
          <w:rFonts w:ascii="Verdana" w:eastAsia="Times New Roman" w:hAnsi="Verdana" w:cs="Courier New"/>
          <w:sz w:val="20"/>
          <w:szCs w:val="20"/>
        </w:rPr>
        <w:t>gl</w:t>
      </w:r>
      <w:r w:rsidR="00086B95">
        <w:rPr>
          <w:rFonts w:ascii="Verdana" w:eastAsia="Times New Roman" w:hAnsi="Verdana" w:cs="Courier New"/>
          <w:sz w:val="20"/>
          <w:szCs w:val="20"/>
        </w:rPr>
        <w:t>e</w:t>
      </w:r>
      <w:r w:rsidRPr="00A54473">
        <w:rPr>
          <w:rFonts w:ascii="Verdana" w:eastAsia="Times New Roman" w:hAnsi="Verdana" w:cs="Courier New"/>
          <w:sz w:val="20"/>
          <w:szCs w:val="20"/>
        </w:rPr>
        <w:t>y</w:t>
      </w:r>
      <w:proofErr w:type="spellEnd"/>
      <w:r w:rsidRPr="00A54473">
        <w:rPr>
          <w:rFonts w:ascii="Verdana" w:eastAsia="Times New Roman" w:hAnsi="Verdana" w:cs="Courier New"/>
          <w:sz w:val="20"/>
          <w:szCs w:val="20"/>
        </w:rPr>
        <w:t xml:space="preserve"> resulted from a joint investigation condu</w:t>
      </w:r>
      <w:r w:rsidR="00086B95">
        <w:rPr>
          <w:rFonts w:ascii="Verdana" w:eastAsia="Times New Roman" w:hAnsi="Verdana" w:cs="Courier New"/>
          <w:sz w:val="20"/>
          <w:szCs w:val="20"/>
        </w:rPr>
        <w:t>cted by the Office of Attorney G</w:t>
      </w:r>
      <w:r w:rsidRPr="00A54473">
        <w:rPr>
          <w:rFonts w:ascii="Verdana" w:eastAsia="Times New Roman" w:hAnsi="Verdana" w:cs="Courier New"/>
          <w:sz w:val="20"/>
          <w:szCs w:val="20"/>
        </w:rPr>
        <w:t xml:space="preserve">eneral and the Pennsylvania State Police.  The family friend, Ronald “Porky” </w:t>
      </w:r>
      <w:proofErr w:type="spellStart"/>
      <w:r w:rsidRPr="00A54473">
        <w:rPr>
          <w:rFonts w:ascii="Verdana" w:eastAsia="Times New Roman" w:hAnsi="Verdana" w:cs="Courier New"/>
          <w:sz w:val="20"/>
          <w:szCs w:val="20"/>
        </w:rPr>
        <w:t>Melocchi</w:t>
      </w:r>
      <w:proofErr w:type="spellEnd"/>
      <w:r w:rsidRPr="00A54473">
        <w:rPr>
          <w:rFonts w:ascii="Verdana" w:eastAsia="Times New Roman" w:hAnsi="Verdana" w:cs="Courier New"/>
          <w:sz w:val="20"/>
          <w:szCs w:val="20"/>
        </w:rPr>
        <w:t xml:space="preserve"> </w:t>
      </w:r>
      <w:r w:rsidR="00086B95">
        <w:rPr>
          <w:rFonts w:ascii="Verdana" w:eastAsia="Times New Roman" w:hAnsi="Verdana" w:cs="Courier New"/>
          <w:sz w:val="20"/>
          <w:szCs w:val="20"/>
        </w:rPr>
        <w:t xml:space="preserve">was </w:t>
      </w:r>
      <w:r w:rsidRPr="00A54473">
        <w:rPr>
          <w:rFonts w:ascii="Verdana" w:eastAsia="Times New Roman" w:hAnsi="Verdana" w:cs="Courier New"/>
          <w:sz w:val="20"/>
          <w:szCs w:val="20"/>
        </w:rPr>
        <w:t xml:space="preserve">criminally charged for running an illegal gambling enterprise in September 2013.  At the time, 330 video gaming machines located in the McKeesport area were confiscated from bars, restaurants and other businesses.  Wiretaps and other evidence collected during the ongoing investigation tied Rep. </w:t>
      </w:r>
      <w:proofErr w:type="spellStart"/>
      <w:r w:rsidRPr="00A54473">
        <w:rPr>
          <w:rFonts w:ascii="Verdana" w:eastAsia="Times New Roman" w:hAnsi="Verdana" w:cs="Courier New"/>
          <w:sz w:val="20"/>
          <w:szCs w:val="20"/>
        </w:rPr>
        <w:t>Gergl</w:t>
      </w:r>
      <w:r w:rsidR="00086B95">
        <w:rPr>
          <w:rFonts w:ascii="Verdana" w:eastAsia="Times New Roman" w:hAnsi="Verdana" w:cs="Courier New"/>
          <w:sz w:val="20"/>
          <w:szCs w:val="20"/>
        </w:rPr>
        <w:t>e</w:t>
      </w:r>
      <w:r w:rsidRPr="00A54473">
        <w:rPr>
          <w:rFonts w:ascii="Verdana" w:eastAsia="Times New Roman" w:hAnsi="Verdana" w:cs="Courier New"/>
          <w:sz w:val="20"/>
          <w:szCs w:val="20"/>
        </w:rPr>
        <w:t>y</w:t>
      </w:r>
      <w:proofErr w:type="spellEnd"/>
      <w:r w:rsidRPr="00A54473">
        <w:rPr>
          <w:rFonts w:ascii="Verdana" w:eastAsia="Times New Roman" w:hAnsi="Verdana" w:cs="Courier New"/>
          <w:sz w:val="20"/>
          <w:szCs w:val="20"/>
        </w:rPr>
        <w:t xml:space="preserve"> to Mr. </w:t>
      </w:r>
      <w:proofErr w:type="spellStart"/>
      <w:r w:rsidRPr="00A54473">
        <w:rPr>
          <w:rFonts w:ascii="Verdana" w:eastAsia="Times New Roman" w:hAnsi="Verdana" w:cs="Courier New"/>
          <w:sz w:val="20"/>
          <w:szCs w:val="20"/>
        </w:rPr>
        <w:t>Melocchi’s</w:t>
      </w:r>
      <w:proofErr w:type="spellEnd"/>
      <w:r w:rsidRPr="00A54473">
        <w:rPr>
          <w:rFonts w:ascii="Verdana" w:eastAsia="Times New Roman" w:hAnsi="Verdana" w:cs="Courier New"/>
          <w:sz w:val="20"/>
          <w:szCs w:val="20"/>
        </w:rPr>
        <w:t xml:space="preserve"> illegal enterprise, </w:t>
      </w:r>
      <w:r w:rsidR="00086B95">
        <w:rPr>
          <w:rFonts w:ascii="Verdana" w:eastAsia="Times New Roman" w:hAnsi="Verdana" w:cs="Courier New"/>
          <w:sz w:val="20"/>
          <w:szCs w:val="20"/>
        </w:rPr>
        <w:t>which resulted</w:t>
      </w:r>
      <w:r w:rsidRPr="00A54473">
        <w:rPr>
          <w:rFonts w:ascii="Verdana" w:eastAsia="Times New Roman" w:hAnsi="Verdana" w:cs="Courier New"/>
          <w:sz w:val="20"/>
          <w:szCs w:val="20"/>
        </w:rPr>
        <w:t xml:space="preserve"> in the filing of criminal corruption charges.</w:t>
      </w:r>
    </w:p>
    <w:p w:rsidR="00086B95" w:rsidRDefault="00086B95" w:rsidP="00A54473">
      <w:pPr>
        <w:shd w:val="clear" w:color="auto" w:fill="F8F9FB"/>
        <w:jc w:val="both"/>
        <w:textAlignment w:val="baseline"/>
        <w:rPr>
          <w:rFonts w:ascii="Verdana" w:eastAsia="Times New Roman" w:hAnsi="Verdana" w:cs="Courier New"/>
          <w:sz w:val="20"/>
          <w:szCs w:val="20"/>
        </w:rPr>
      </w:pPr>
    </w:p>
    <w:p w:rsidR="008D6B5F" w:rsidRPr="008D6B5F" w:rsidRDefault="008D6B5F" w:rsidP="008D6B5F">
      <w:pPr>
        <w:rPr>
          <w:rFonts w:ascii="Verdana" w:eastAsia="Times New Roman" w:hAnsi="Verdana" w:cs="Times New Roman"/>
          <w:b/>
          <w:sz w:val="20"/>
          <w:szCs w:val="20"/>
          <w:u w:val="single"/>
        </w:rPr>
      </w:pPr>
      <w:r w:rsidRPr="008D6B5F">
        <w:rPr>
          <w:rFonts w:ascii="Verdana" w:eastAsia="Times New Roman" w:hAnsi="Verdana" w:cs="Times New Roman"/>
          <w:b/>
          <w:sz w:val="20"/>
          <w:szCs w:val="20"/>
          <w:u w:val="single"/>
        </w:rPr>
        <w:t xml:space="preserve">CASH STRAPPED SCHOOL DISTRICTS HELD HOSTAGE WITH </w:t>
      </w:r>
      <w:r w:rsidR="00FC2958">
        <w:rPr>
          <w:rFonts w:ascii="Verdana" w:eastAsia="Times New Roman" w:hAnsi="Verdana" w:cs="Times New Roman"/>
          <w:b/>
          <w:sz w:val="20"/>
          <w:szCs w:val="20"/>
          <w:u w:val="single"/>
        </w:rPr>
        <w:t xml:space="preserve">THE </w:t>
      </w:r>
      <w:r w:rsidRPr="008D6B5F">
        <w:rPr>
          <w:rFonts w:ascii="Verdana" w:eastAsia="Times New Roman" w:hAnsi="Verdana" w:cs="Times New Roman"/>
          <w:b/>
          <w:sz w:val="20"/>
          <w:szCs w:val="20"/>
          <w:u w:val="single"/>
        </w:rPr>
        <w:t>BUDGET IMPASSEE</w:t>
      </w:r>
    </w:p>
    <w:p w:rsidR="00E41386" w:rsidRPr="00E41386" w:rsidRDefault="00FC2958" w:rsidP="00E41386">
      <w:pPr>
        <w:rPr>
          <w:rFonts w:ascii="Verdana" w:hAnsi="Verdana"/>
          <w:sz w:val="20"/>
          <w:szCs w:val="20"/>
        </w:rPr>
      </w:pPr>
      <w:r w:rsidRPr="00601851">
        <w:rPr>
          <w:rFonts w:ascii="Verdana" w:hAnsi="Verdana" w:cs="Arial"/>
          <w:color w:val="000000"/>
          <w:sz w:val="20"/>
          <w:szCs w:val="20"/>
        </w:rPr>
        <w:t>Both the House and Senate Appr</w:t>
      </w:r>
      <w:r>
        <w:rPr>
          <w:rFonts w:ascii="Verdana" w:hAnsi="Verdana" w:cs="Arial"/>
          <w:color w:val="000000"/>
          <w:sz w:val="20"/>
          <w:szCs w:val="20"/>
        </w:rPr>
        <w:t>opriations Committees completed</w:t>
      </w:r>
      <w:r w:rsidRPr="00601851">
        <w:rPr>
          <w:rFonts w:ascii="Verdana" w:hAnsi="Verdana" w:cs="Arial"/>
          <w:color w:val="000000"/>
          <w:sz w:val="20"/>
          <w:szCs w:val="20"/>
        </w:rPr>
        <w:t xml:space="preserve"> their second of three weeks of budget hearings this week.</w:t>
      </w:r>
      <w:r>
        <w:rPr>
          <w:rFonts w:ascii="Verdana" w:hAnsi="Verdana" w:cs="Arial"/>
          <w:color w:val="000000"/>
          <w:sz w:val="20"/>
          <w:szCs w:val="20"/>
        </w:rPr>
        <w:t xml:space="preserve">  However, </w:t>
      </w:r>
      <w:r>
        <w:rPr>
          <w:rFonts w:ascii="Verdana" w:hAnsi="Verdana"/>
          <w:sz w:val="20"/>
          <w:szCs w:val="20"/>
        </w:rPr>
        <w:t>i</w:t>
      </w:r>
      <w:r w:rsidR="008D6B5F" w:rsidRPr="008D6B5F">
        <w:rPr>
          <w:rFonts w:ascii="Verdana" w:hAnsi="Verdana"/>
          <w:sz w:val="20"/>
          <w:szCs w:val="20"/>
        </w:rPr>
        <w:t xml:space="preserve">n testimony presented by the Pennsylvania's Auditor General Eugene </w:t>
      </w:r>
      <w:proofErr w:type="spellStart"/>
      <w:r w:rsidR="008D6B5F" w:rsidRPr="008D6B5F">
        <w:rPr>
          <w:rFonts w:ascii="Verdana" w:hAnsi="Verdana"/>
          <w:sz w:val="20"/>
          <w:szCs w:val="20"/>
        </w:rPr>
        <w:t>DePasquale</w:t>
      </w:r>
      <w:proofErr w:type="spellEnd"/>
      <w:r w:rsidR="008D6B5F" w:rsidRPr="008D6B5F">
        <w:rPr>
          <w:rFonts w:ascii="Verdana" w:hAnsi="Verdana"/>
          <w:sz w:val="20"/>
          <w:szCs w:val="20"/>
        </w:rPr>
        <w:t xml:space="preserve"> before the House Appropriations Committee, Pennsylvania school districts </w:t>
      </w:r>
      <w:r>
        <w:rPr>
          <w:rFonts w:ascii="Verdana" w:hAnsi="Verdana"/>
          <w:sz w:val="20"/>
          <w:szCs w:val="20"/>
        </w:rPr>
        <w:t xml:space="preserve">are entering a far worse position </w:t>
      </w:r>
      <w:r w:rsidR="008D6B5F" w:rsidRPr="008D6B5F">
        <w:rPr>
          <w:rFonts w:ascii="Verdana" w:hAnsi="Verdana"/>
          <w:sz w:val="20"/>
          <w:szCs w:val="20"/>
        </w:rPr>
        <w:t>as the Commonwealth’s budget impasse continues.  According to the Auditor General, school districts borrowed an estimated one billion-dollar</w:t>
      </w:r>
      <w:r>
        <w:rPr>
          <w:rFonts w:ascii="Verdana" w:hAnsi="Verdana"/>
          <w:sz w:val="20"/>
          <w:szCs w:val="20"/>
        </w:rPr>
        <w:t xml:space="preserve"> before Governor </w:t>
      </w:r>
      <w:r w:rsidR="008D6B5F" w:rsidRPr="008D6B5F">
        <w:rPr>
          <w:rFonts w:ascii="Verdana" w:hAnsi="Verdana"/>
          <w:sz w:val="20"/>
          <w:szCs w:val="20"/>
        </w:rPr>
        <w:t xml:space="preserve">Wolf released partial funding in December and now those funds are running out.  He warned that school districts that have depleted their funds and already have one loan may not be able to get another one or if they do, it will be at substantially higher interests rates, which further exasperates the funding crisis. </w:t>
      </w:r>
      <w:r w:rsidR="00CA3417">
        <w:rPr>
          <w:rFonts w:ascii="Verdana" w:hAnsi="Verdana"/>
          <w:sz w:val="20"/>
          <w:szCs w:val="20"/>
        </w:rPr>
        <w:t xml:space="preserve"> Late last week, the Pennsylvania </w:t>
      </w:r>
      <w:r w:rsidR="00CA3417" w:rsidRPr="00CA3417">
        <w:rPr>
          <w:rFonts w:ascii="Verdana" w:hAnsi="Verdana"/>
          <w:sz w:val="20"/>
          <w:szCs w:val="20"/>
        </w:rPr>
        <w:t xml:space="preserve">Department of Education developed and disseminated </w:t>
      </w:r>
      <w:r w:rsidR="00CA3417" w:rsidRPr="00CA3417">
        <w:rPr>
          <w:rFonts w:ascii="Verdana" w:hAnsi="Verdana" w:cs="Arial"/>
          <w:color w:val="000000"/>
          <w:sz w:val="20"/>
          <w:szCs w:val="20"/>
          <w:shd w:val="clear" w:color="auto" w:fill="FFFFFF"/>
        </w:rPr>
        <w:t xml:space="preserve">a </w:t>
      </w:r>
      <w:r w:rsidR="00CA3417">
        <w:rPr>
          <w:rFonts w:ascii="Verdana" w:hAnsi="Verdana" w:cs="Arial"/>
          <w:color w:val="000000"/>
          <w:sz w:val="20"/>
          <w:szCs w:val="20"/>
          <w:shd w:val="clear" w:color="auto" w:fill="FFFFFF"/>
        </w:rPr>
        <w:t>school closing checklist to provide</w:t>
      </w:r>
      <w:r w:rsidR="00CA3417" w:rsidRPr="00CA3417">
        <w:rPr>
          <w:rFonts w:ascii="Verdana" w:hAnsi="Verdana" w:cs="Arial"/>
          <w:color w:val="000000"/>
          <w:sz w:val="20"/>
          <w:szCs w:val="20"/>
          <w:shd w:val="clear" w:color="auto" w:fill="FFFFFF"/>
        </w:rPr>
        <w:t xml:space="preserve"> schools </w:t>
      </w:r>
      <w:r w:rsidR="00CA3417">
        <w:rPr>
          <w:rFonts w:ascii="Verdana" w:hAnsi="Verdana" w:cs="Arial"/>
          <w:color w:val="000000"/>
          <w:sz w:val="20"/>
          <w:szCs w:val="20"/>
          <w:shd w:val="clear" w:color="auto" w:fill="FFFFFF"/>
        </w:rPr>
        <w:t xml:space="preserve">with protocols to successfully </w:t>
      </w:r>
      <w:r w:rsidR="00CA3417" w:rsidRPr="00CA3417">
        <w:rPr>
          <w:rFonts w:ascii="Verdana" w:hAnsi="Verdana" w:cs="Arial"/>
          <w:color w:val="000000"/>
          <w:sz w:val="20"/>
          <w:szCs w:val="20"/>
          <w:shd w:val="clear" w:color="auto" w:fill="FFFFFF"/>
        </w:rPr>
        <w:t>shut their doors</w:t>
      </w:r>
      <w:r w:rsidR="00CA3417">
        <w:rPr>
          <w:rFonts w:ascii="Verdana" w:hAnsi="Verdana" w:cs="Arial"/>
          <w:color w:val="000000"/>
          <w:sz w:val="20"/>
          <w:szCs w:val="20"/>
          <w:shd w:val="clear" w:color="auto" w:fill="FFFFFF"/>
        </w:rPr>
        <w:t xml:space="preserve"> much to dismay of the members of General Assembly.  </w:t>
      </w:r>
      <w:r w:rsidR="00E41386">
        <w:rPr>
          <w:rFonts w:ascii="Verdana" w:hAnsi="Verdana"/>
          <w:sz w:val="20"/>
          <w:szCs w:val="20"/>
        </w:rPr>
        <w:t>On a brighter note, the usual cash-strapped P</w:t>
      </w:r>
      <w:r w:rsidR="00E41386" w:rsidRPr="00E41386">
        <w:rPr>
          <w:rFonts w:ascii="Verdana" w:eastAsia="Times New Roman" w:hAnsi="Verdana" w:cs="Arial"/>
          <w:color w:val="000000"/>
          <w:sz w:val="20"/>
          <w:szCs w:val="20"/>
        </w:rPr>
        <w:t>hil</w:t>
      </w:r>
      <w:r w:rsidR="00E41386">
        <w:rPr>
          <w:rFonts w:ascii="Verdana" w:eastAsia="Times New Roman" w:hAnsi="Verdana" w:cs="Arial"/>
          <w:color w:val="000000"/>
          <w:sz w:val="20"/>
          <w:szCs w:val="20"/>
        </w:rPr>
        <w:t>a</w:t>
      </w:r>
      <w:r w:rsidR="00E41386" w:rsidRPr="00E41386">
        <w:rPr>
          <w:rFonts w:ascii="Verdana" w:eastAsia="Times New Roman" w:hAnsi="Verdana" w:cs="Arial"/>
          <w:color w:val="000000"/>
          <w:sz w:val="20"/>
          <w:szCs w:val="20"/>
        </w:rPr>
        <w:t>delphia School Distr</w:t>
      </w:r>
      <w:r w:rsidR="00E41386">
        <w:rPr>
          <w:rFonts w:ascii="Verdana" w:eastAsia="Times New Roman" w:hAnsi="Verdana" w:cs="Arial"/>
          <w:color w:val="000000"/>
          <w:sz w:val="20"/>
          <w:szCs w:val="20"/>
        </w:rPr>
        <w:t>ict ended its</w:t>
      </w:r>
      <w:r w:rsidR="00E41386" w:rsidRPr="00E41386">
        <w:rPr>
          <w:rFonts w:ascii="Verdana" w:eastAsia="Times New Roman" w:hAnsi="Verdana" w:cs="Arial"/>
          <w:color w:val="000000"/>
          <w:sz w:val="20"/>
          <w:szCs w:val="20"/>
        </w:rPr>
        <w:t xml:space="preserve"> current fiscal year with an $88 million surplus </w:t>
      </w:r>
      <w:r w:rsidR="00E41386">
        <w:rPr>
          <w:rFonts w:ascii="Verdana" w:eastAsia="Times New Roman" w:hAnsi="Verdana" w:cs="Arial"/>
          <w:color w:val="000000"/>
          <w:sz w:val="20"/>
          <w:szCs w:val="20"/>
        </w:rPr>
        <w:t xml:space="preserve">as a result of </w:t>
      </w:r>
      <w:r w:rsidR="00E41386" w:rsidRPr="00E41386">
        <w:rPr>
          <w:rFonts w:ascii="Verdana" w:eastAsia="Times New Roman" w:hAnsi="Verdana" w:cs="Arial"/>
          <w:color w:val="000000"/>
          <w:sz w:val="20"/>
          <w:szCs w:val="20"/>
        </w:rPr>
        <w:t>new revenue sources, including an increased cigarette tax.</w:t>
      </w:r>
      <w:r w:rsidR="00E41386" w:rsidRPr="00E41386">
        <w:rPr>
          <w:rFonts w:ascii="Verdana" w:eastAsia="Times New Roman" w:hAnsi="Verdana" w:cs="Arial"/>
          <w:color w:val="333333"/>
          <w:spacing w:val="3"/>
          <w:sz w:val="20"/>
          <w:szCs w:val="20"/>
          <w:shd w:val="clear" w:color="auto" w:fill="FFFFFF"/>
        </w:rPr>
        <w:t> </w:t>
      </w:r>
      <w:r w:rsidR="00E41386" w:rsidRPr="00E41386">
        <w:rPr>
          <w:rFonts w:ascii="Verdana" w:eastAsia="Times New Roman" w:hAnsi="Verdana" w:cs="Times New Roman"/>
          <w:sz w:val="20"/>
          <w:szCs w:val="20"/>
        </w:rPr>
        <w:t xml:space="preserve">  </w:t>
      </w:r>
    </w:p>
    <w:p w:rsidR="008D6B5F" w:rsidRDefault="008D6B5F" w:rsidP="008D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sz w:val="20"/>
          <w:szCs w:val="20"/>
        </w:rPr>
      </w:pPr>
    </w:p>
    <w:p w:rsidR="0055284A" w:rsidRPr="00FC59C7" w:rsidRDefault="0055284A" w:rsidP="008D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b/>
          <w:sz w:val="20"/>
          <w:szCs w:val="20"/>
          <w:u w:val="single"/>
        </w:rPr>
      </w:pPr>
      <w:r w:rsidRPr="00FC59C7">
        <w:rPr>
          <w:rFonts w:ascii="Verdana" w:eastAsia="Times New Roman" w:hAnsi="Verdana" w:cs="Courier New"/>
          <w:b/>
          <w:sz w:val="20"/>
          <w:szCs w:val="20"/>
          <w:u w:val="single"/>
        </w:rPr>
        <w:t xml:space="preserve">LEGISLATION INTRODUCED TO DETERMINE </w:t>
      </w:r>
      <w:r w:rsidR="00CA3417">
        <w:rPr>
          <w:rFonts w:ascii="Verdana" w:eastAsia="Times New Roman" w:hAnsi="Verdana" w:cs="Courier New"/>
          <w:b/>
          <w:sz w:val="20"/>
          <w:szCs w:val="20"/>
          <w:u w:val="single"/>
        </w:rPr>
        <w:t>LEGISLATORS</w:t>
      </w:r>
      <w:r w:rsidRPr="00FC59C7">
        <w:rPr>
          <w:rFonts w:ascii="Verdana" w:eastAsia="Times New Roman" w:hAnsi="Verdana" w:cs="Courier New"/>
          <w:b/>
          <w:sz w:val="20"/>
          <w:szCs w:val="20"/>
          <w:u w:val="single"/>
        </w:rPr>
        <w:t xml:space="preserve"> PAY</w:t>
      </w:r>
    </w:p>
    <w:p w:rsidR="0055284A" w:rsidRDefault="0055284A" w:rsidP="0055284A">
      <w:pPr>
        <w:shd w:val="clear" w:color="auto" w:fill="F8F9FB"/>
        <w:jc w:val="both"/>
        <w:textAlignment w:val="baseline"/>
        <w:rPr>
          <w:rFonts w:ascii="Verdana" w:eastAsia="Times New Roman" w:hAnsi="Verdana" w:cs="Courier New"/>
          <w:sz w:val="20"/>
          <w:szCs w:val="20"/>
        </w:rPr>
      </w:pPr>
      <w:r w:rsidRPr="00FC59C7">
        <w:rPr>
          <w:rFonts w:ascii="Verdana" w:eastAsia="Times New Roman" w:hAnsi="Verdana" w:cs="Courier New"/>
          <w:sz w:val="20"/>
          <w:szCs w:val="20"/>
        </w:rPr>
        <w:t xml:space="preserve">HB 269 introduced by Representative Lawrence would establish a </w:t>
      </w:r>
      <w:r w:rsidRPr="00510A7E">
        <w:rPr>
          <w:rFonts w:ascii="Verdana" w:eastAsia="Times New Roman" w:hAnsi="Verdana" w:cs="Courier New"/>
          <w:sz w:val="20"/>
          <w:szCs w:val="20"/>
        </w:rPr>
        <w:t>Citizens Compensation Commission to determine salaries for legislators.</w:t>
      </w:r>
      <w:r w:rsidRPr="00FC59C7">
        <w:rPr>
          <w:rFonts w:ascii="Verdana" w:eastAsia="Times New Roman" w:hAnsi="Verdana" w:cs="Courier New"/>
          <w:sz w:val="20"/>
          <w:szCs w:val="20"/>
        </w:rPr>
        <w:t xml:space="preserve">  Senator </w:t>
      </w:r>
      <w:proofErr w:type="spellStart"/>
      <w:r w:rsidRPr="00FC59C7">
        <w:rPr>
          <w:rFonts w:ascii="Verdana" w:eastAsia="Times New Roman" w:hAnsi="Verdana" w:cs="Courier New"/>
          <w:sz w:val="20"/>
          <w:szCs w:val="20"/>
        </w:rPr>
        <w:t>Teplitz</w:t>
      </w:r>
      <w:proofErr w:type="spellEnd"/>
      <w:r w:rsidRPr="00FC59C7">
        <w:rPr>
          <w:rFonts w:ascii="Verdana" w:eastAsia="Times New Roman" w:hAnsi="Verdana" w:cs="Courier New"/>
          <w:sz w:val="20"/>
          <w:szCs w:val="20"/>
        </w:rPr>
        <w:t xml:space="preserve"> released a </w:t>
      </w:r>
      <w:proofErr w:type="spellStart"/>
      <w:r w:rsidRPr="00FC59C7">
        <w:rPr>
          <w:rFonts w:ascii="Verdana" w:eastAsia="Times New Roman" w:hAnsi="Verdana" w:cs="Courier New"/>
          <w:sz w:val="20"/>
          <w:szCs w:val="20"/>
        </w:rPr>
        <w:t>cosponsorship</w:t>
      </w:r>
      <w:proofErr w:type="spellEnd"/>
      <w:r w:rsidRPr="00FC59C7">
        <w:rPr>
          <w:rFonts w:ascii="Verdana" w:eastAsia="Times New Roman" w:hAnsi="Verdana" w:cs="Courier New"/>
          <w:sz w:val="20"/>
          <w:szCs w:val="20"/>
        </w:rPr>
        <w:t xml:space="preserve"> memo indicating that he will introduce similar legislation based off of a California </w:t>
      </w:r>
      <w:r w:rsidRPr="00CC37D4">
        <w:rPr>
          <w:rFonts w:ascii="Verdana" w:eastAsia="Times New Roman" w:hAnsi="Verdana" w:cs="Courier New"/>
          <w:sz w:val="20"/>
          <w:szCs w:val="20"/>
        </w:rPr>
        <w:t xml:space="preserve">system </w:t>
      </w:r>
      <w:r w:rsidRPr="00FC59C7">
        <w:rPr>
          <w:rFonts w:ascii="Verdana" w:eastAsia="Times New Roman" w:hAnsi="Verdana" w:cs="Courier New"/>
          <w:sz w:val="20"/>
          <w:szCs w:val="20"/>
        </w:rPr>
        <w:t>adopted a</w:t>
      </w:r>
      <w:r w:rsidRPr="00CC37D4">
        <w:rPr>
          <w:rFonts w:ascii="Verdana" w:eastAsia="Times New Roman" w:hAnsi="Verdana" w:cs="Courier New"/>
          <w:sz w:val="20"/>
          <w:szCs w:val="20"/>
        </w:rPr>
        <w:t>fter voters approved a ballot referendum</w:t>
      </w:r>
      <w:r w:rsidRPr="00FC59C7">
        <w:rPr>
          <w:rFonts w:ascii="Verdana" w:eastAsia="Times New Roman" w:hAnsi="Verdana" w:cs="Courier New"/>
          <w:sz w:val="20"/>
          <w:szCs w:val="20"/>
        </w:rPr>
        <w:t xml:space="preserve"> </w:t>
      </w:r>
      <w:r w:rsidRPr="00CC37D4">
        <w:rPr>
          <w:rFonts w:ascii="Verdana" w:eastAsia="Times New Roman" w:hAnsi="Verdana" w:cs="Courier New"/>
          <w:sz w:val="20"/>
          <w:szCs w:val="20"/>
        </w:rPr>
        <w:t xml:space="preserve">creating a </w:t>
      </w:r>
      <w:r w:rsidRPr="00FC59C7">
        <w:rPr>
          <w:rFonts w:ascii="Verdana" w:eastAsia="Times New Roman" w:hAnsi="Verdana" w:cs="Courier New"/>
          <w:sz w:val="20"/>
          <w:szCs w:val="20"/>
        </w:rPr>
        <w:t>c</w:t>
      </w:r>
      <w:r w:rsidRPr="00CC37D4">
        <w:rPr>
          <w:rFonts w:ascii="Verdana" w:eastAsia="Times New Roman" w:hAnsi="Verdana" w:cs="Courier New"/>
          <w:sz w:val="20"/>
          <w:szCs w:val="20"/>
        </w:rPr>
        <w:t>ommission to review government salaries.</w:t>
      </w:r>
      <w:r w:rsidRPr="00FC59C7">
        <w:rPr>
          <w:rFonts w:ascii="Verdana" w:eastAsia="Times New Roman" w:hAnsi="Verdana" w:cs="Courier New"/>
          <w:sz w:val="20"/>
          <w:szCs w:val="20"/>
        </w:rPr>
        <w:t xml:space="preserve">  The legislation </w:t>
      </w:r>
      <w:r w:rsidRPr="00CC37D4">
        <w:rPr>
          <w:rFonts w:ascii="Verdana" w:eastAsia="Times New Roman" w:hAnsi="Verdana" w:cs="Courier New"/>
          <w:sz w:val="20"/>
          <w:szCs w:val="20"/>
        </w:rPr>
        <w:t>also repeal</w:t>
      </w:r>
      <w:r w:rsidRPr="00FC59C7">
        <w:rPr>
          <w:rFonts w:ascii="Verdana" w:eastAsia="Times New Roman" w:hAnsi="Verdana" w:cs="Courier New"/>
          <w:sz w:val="20"/>
          <w:szCs w:val="20"/>
        </w:rPr>
        <w:t>s</w:t>
      </w:r>
      <w:r w:rsidRPr="00CC37D4">
        <w:rPr>
          <w:rFonts w:ascii="Verdana" w:eastAsia="Times New Roman" w:hAnsi="Verdana" w:cs="Courier New"/>
          <w:sz w:val="20"/>
          <w:szCs w:val="20"/>
        </w:rPr>
        <w:t xml:space="preserve"> annual legislative COLAs, which</w:t>
      </w:r>
      <w:r w:rsidRPr="00FC59C7">
        <w:rPr>
          <w:rFonts w:ascii="Verdana" w:eastAsia="Times New Roman" w:hAnsi="Verdana" w:cs="Courier New"/>
          <w:sz w:val="20"/>
          <w:szCs w:val="20"/>
        </w:rPr>
        <w:t xml:space="preserve"> </w:t>
      </w:r>
      <w:r w:rsidRPr="00CC37D4">
        <w:rPr>
          <w:rFonts w:ascii="Verdana" w:eastAsia="Times New Roman" w:hAnsi="Verdana" w:cs="Courier New"/>
          <w:sz w:val="20"/>
          <w:szCs w:val="20"/>
        </w:rPr>
        <w:t>will no longer be necessary once the commission starts establishing</w:t>
      </w:r>
      <w:r w:rsidRPr="00FC59C7">
        <w:rPr>
          <w:rFonts w:ascii="Verdana" w:eastAsia="Times New Roman" w:hAnsi="Verdana" w:cs="Courier New"/>
          <w:sz w:val="20"/>
          <w:szCs w:val="20"/>
        </w:rPr>
        <w:t xml:space="preserve"> </w:t>
      </w:r>
      <w:r w:rsidRPr="00CC37D4">
        <w:rPr>
          <w:rFonts w:ascii="Verdana" w:eastAsia="Times New Roman" w:hAnsi="Verdana" w:cs="Courier New"/>
          <w:sz w:val="20"/>
          <w:szCs w:val="20"/>
        </w:rPr>
        <w:t>annual salaries.</w:t>
      </w:r>
    </w:p>
    <w:p w:rsidR="0055284A" w:rsidRDefault="0055284A" w:rsidP="0055284A">
      <w:pPr>
        <w:shd w:val="clear" w:color="auto" w:fill="F8F9FB"/>
        <w:jc w:val="both"/>
        <w:textAlignment w:val="baseline"/>
        <w:rPr>
          <w:rFonts w:ascii="Verdana" w:eastAsia="Times New Roman" w:hAnsi="Verdana" w:cs="Courier New"/>
          <w:sz w:val="20"/>
          <w:szCs w:val="20"/>
        </w:rPr>
      </w:pPr>
    </w:p>
    <w:p w:rsidR="0055284A" w:rsidRPr="0055284A" w:rsidRDefault="0055284A" w:rsidP="0055284A">
      <w:pPr>
        <w:rPr>
          <w:rFonts w:ascii="Verdana" w:hAnsi="Verdana"/>
          <w:b/>
          <w:sz w:val="20"/>
          <w:szCs w:val="20"/>
          <w:u w:val="single"/>
        </w:rPr>
      </w:pPr>
      <w:r w:rsidRPr="0055284A">
        <w:rPr>
          <w:rFonts w:ascii="Verdana" w:hAnsi="Verdana"/>
          <w:b/>
          <w:sz w:val="20"/>
          <w:szCs w:val="20"/>
          <w:u w:val="single"/>
        </w:rPr>
        <w:t>LANCASTER COUNTY LEGISLATORS TO INTRODUCE THE “HEAT” ACT</w:t>
      </w:r>
    </w:p>
    <w:p w:rsidR="00086B95" w:rsidRPr="006668CE" w:rsidRDefault="0055284A" w:rsidP="0055284A">
      <w:pPr>
        <w:shd w:val="clear" w:color="auto" w:fill="F8F9FB"/>
        <w:jc w:val="both"/>
        <w:textAlignment w:val="baseline"/>
        <w:rPr>
          <w:rFonts w:ascii="Arial" w:eastAsia="Times New Roman" w:hAnsi="Arial" w:cs="Arial"/>
          <w:color w:val="333333"/>
          <w:sz w:val="20"/>
          <w:szCs w:val="20"/>
        </w:rPr>
      </w:pPr>
      <w:r>
        <w:rPr>
          <w:rFonts w:ascii="Verdana" w:hAnsi="Verdana" w:cs="Arial"/>
          <w:color w:val="000000"/>
          <w:sz w:val="20"/>
          <w:szCs w:val="20"/>
        </w:rPr>
        <w:t>Senator</w:t>
      </w:r>
      <w:r w:rsidRPr="0055284A">
        <w:rPr>
          <w:rFonts w:ascii="Verdana" w:hAnsi="Verdana" w:cs="Arial"/>
          <w:color w:val="000000"/>
          <w:sz w:val="20"/>
          <w:szCs w:val="20"/>
        </w:rPr>
        <w:t xml:space="preserve"> Ryan </w:t>
      </w:r>
      <w:proofErr w:type="spellStart"/>
      <w:r w:rsidRPr="0055284A">
        <w:rPr>
          <w:rFonts w:ascii="Verdana" w:hAnsi="Verdana" w:cs="Arial"/>
          <w:color w:val="000000"/>
          <w:sz w:val="20"/>
          <w:szCs w:val="20"/>
        </w:rPr>
        <w:t>Aument</w:t>
      </w:r>
      <w:proofErr w:type="spellEnd"/>
      <w:r w:rsidRPr="0055284A">
        <w:rPr>
          <w:rFonts w:ascii="Verdana" w:hAnsi="Verdana" w:cs="Arial"/>
          <w:color w:val="000000"/>
          <w:sz w:val="20"/>
          <w:szCs w:val="20"/>
        </w:rPr>
        <w:t xml:space="preserve"> (R-Lancaster) and Rep</w:t>
      </w:r>
      <w:r>
        <w:rPr>
          <w:rFonts w:ascii="Verdana" w:hAnsi="Verdana" w:cs="Arial"/>
          <w:color w:val="000000"/>
          <w:sz w:val="20"/>
          <w:szCs w:val="20"/>
        </w:rPr>
        <w:t>resentative</w:t>
      </w:r>
      <w:r w:rsidRPr="0055284A">
        <w:rPr>
          <w:rFonts w:ascii="Verdana" w:hAnsi="Verdana" w:cs="Arial"/>
          <w:color w:val="000000"/>
          <w:sz w:val="20"/>
          <w:szCs w:val="20"/>
        </w:rPr>
        <w:t xml:space="preserve"> Bryan Cutler (R-Lancaster) announced plans to introduce the Higher Education Accountability and Transparency (HEAT) Act. The legislation would </w:t>
      </w:r>
      <w:r>
        <w:rPr>
          <w:rFonts w:ascii="Verdana" w:hAnsi="Verdana" w:cs="Arial"/>
          <w:color w:val="000000"/>
          <w:sz w:val="20"/>
          <w:szCs w:val="20"/>
        </w:rPr>
        <w:t xml:space="preserve">create an </w:t>
      </w:r>
      <w:r w:rsidRPr="0055284A">
        <w:rPr>
          <w:rFonts w:ascii="Verdana" w:hAnsi="Verdana" w:cs="Arial"/>
          <w:color w:val="000000"/>
          <w:sz w:val="20"/>
          <w:szCs w:val="20"/>
        </w:rPr>
        <w:t>online aid to help prospective college students and their parents to review various institutions of higher learning and choose a school that best meets their educational and financial needs.  The Pennsylvania Department of Education would be charged with creating a comparison tool on its website to allow users to quickly and easily examine many of the factors that are important to parents and students, such as average tuition, graduation and transfer rates, percentage of students receiving federal aid and average borrowing amounts.</w:t>
      </w:r>
    </w:p>
    <w:p w:rsidR="00C07C97" w:rsidRDefault="00C07C97" w:rsidP="00C07C97">
      <w:pPr>
        <w:autoSpaceDE w:val="0"/>
        <w:autoSpaceDN w:val="0"/>
        <w:adjustRightInd w:val="0"/>
        <w:rPr>
          <w:rFonts w:ascii="Verdana" w:hAnsi="Verdana" w:cs="Verdana"/>
          <w:b/>
          <w:color w:val="000000"/>
          <w:sz w:val="20"/>
          <w:szCs w:val="20"/>
          <w:u w:val="single"/>
        </w:rPr>
      </w:pPr>
    </w:p>
    <w:p w:rsidR="00CF1D24" w:rsidRDefault="00CF1D24" w:rsidP="00C07C97">
      <w:pPr>
        <w:autoSpaceDE w:val="0"/>
        <w:autoSpaceDN w:val="0"/>
        <w:adjustRightInd w:val="0"/>
        <w:rPr>
          <w:rFonts w:ascii="Verdana" w:hAnsi="Verdana" w:cs="Verdana"/>
          <w:b/>
          <w:color w:val="000000"/>
          <w:sz w:val="20"/>
          <w:szCs w:val="20"/>
          <w:u w:val="single"/>
        </w:rPr>
      </w:pPr>
    </w:p>
    <w:p w:rsidR="00CA3417" w:rsidRDefault="00CA3417" w:rsidP="00C07C97">
      <w:pPr>
        <w:autoSpaceDE w:val="0"/>
        <w:autoSpaceDN w:val="0"/>
        <w:adjustRightInd w:val="0"/>
        <w:rPr>
          <w:rFonts w:ascii="Verdana" w:hAnsi="Verdana" w:cs="Verdana"/>
          <w:b/>
          <w:color w:val="000000"/>
          <w:sz w:val="20"/>
          <w:szCs w:val="20"/>
          <w:u w:val="single"/>
        </w:rPr>
      </w:pPr>
    </w:p>
    <w:p w:rsidR="006668CE" w:rsidRPr="006668CE" w:rsidRDefault="006668CE" w:rsidP="00C07C97">
      <w:pPr>
        <w:autoSpaceDE w:val="0"/>
        <w:autoSpaceDN w:val="0"/>
        <w:adjustRightInd w:val="0"/>
        <w:rPr>
          <w:rFonts w:ascii="Verdana" w:hAnsi="Verdana" w:cs="Verdana"/>
          <w:b/>
          <w:color w:val="000000"/>
          <w:sz w:val="20"/>
          <w:szCs w:val="20"/>
        </w:rPr>
      </w:pPr>
      <w:r w:rsidRPr="00903DEC">
        <w:rPr>
          <w:rFonts w:ascii="Verdana" w:hAnsi="Verdana" w:cs="Verdana"/>
          <w:b/>
          <w:color w:val="000000"/>
          <w:sz w:val="20"/>
          <w:szCs w:val="20"/>
          <w:u w:val="single"/>
        </w:rPr>
        <w:t>PENNSYLVANIA GENERAL ASSEMBLY SESSION SCHEDULE</w:t>
      </w:r>
      <w:r w:rsidRPr="006668CE">
        <w:rPr>
          <w:rFonts w:ascii="Verdana" w:hAnsi="Verdana" w:cs="Verdana"/>
          <w:b/>
          <w:bCs/>
          <w:color w:val="000000"/>
          <w:sz w:val="20"/>
          <w:szCs w:val="20"/>
        </w:rPr>
        <w:t xml:space="preserve">: </w:t>
      </w:r>
    </w:p>
    <w:p w:rsidR="006668CE" w:rsidRPr="00903DEC" w:rsidRDefault="006668CE" w:rsidP="006668CE">
      <w:pPr>
        <w:autoSpaceDE w:val="0"/>
        <w:autoSpaceDN w:val="0"/>
        <w:adjustRightInd w:val="0"/>
        <w:rPr>
          <w:rFonts w:ascii="Verdana" w:hAnsi="Verdana" w:cs="Verdana"/>
          <w:b/>
          <w:bCs/>
          <w:color w:val="000000"/>
          <w:sz w:val="20"/>
          <w:szCs w:val="20"/>
        </w:rPr>
      </w:pP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2016 SENATE SESSION SCHEDULE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March </w:t>
      </w:r>
      <w:r w:rsidRPr="006668CE">
        <w:rPr>
          <w:rFonts w:ascii="Verdana" w:hAnsi="Verdana" w:cs="Verdana"/>
          <w:color w:val="000000"/>
          <w:sz w:val="20"/>
          <w:szCs w:val="20"/>
        </w:rPr>
        <w:t xml:space="preserve">14, 15, 16, 21, 22, 23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lastRenderedPageBreak/>
        <w:t xml:space="preserve">April </w:t>
      </w:r>
      <w:r w:rsidRPr="006668CE">
        <w:rPr>
          <w:rFonts w:ascii="Verdana" w:hAnsi="Verdana" w:cs="Verdana"/>
          <w:color w:val="000000"/>
          <w:sz w:val="20"/>
          <w:szCs w:val="20"/>
        </w:rPr>
        <w:t xml:space="preserve">4, 5, 6, 11, 12, 13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May </w:t>
      </w:r>
      <w:r w:rsidRPr="006668CE">
        <w:rPr>
          <w:rFonts w:ascii="Verdana" w:hAnsi="Verdana" w:cs="Verdana"/>
          <w:color w:val="000000"/>
          <w:sz w:val="20"/>
          <w:szCs w:val="20"/>
        </w:rPr>
        <w:t xml:space="preserve">9, 10, 11, 16, 17, 18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June </w:t>
      </w:r>
      <w:r w:rsidRPr="006668CE">
        <w:rPr>
          <w:rFonts w:ascii="Verdana" w:hAnsi="Verdana" w:cs="Verdana"/>
          <w:color w:val="000000"/>
          <w:sz w:val="20"/>
          <w:szCs w:val="20"/>
        </w:rPr>
        <w:t xml:space="preserve">6, 7, 8, 13, 14, 15, 20, 21, 22, 23, 24, 25, 26, 27, 28, 29, 30 </w:t>
      </w:r>
    </w:p>
    <w:p w:rsidR="006668CE" w:rsidRPr="00903DEC" w:rsidRDefault="006668CE" w:rsidP="006668CE">
      <w:pPr>
        <w:autoSpaceDE w:val="0"/>
        <w:autoSpaceDN w:val="0"/>
        <w:adjustRightInd w:val="0"/>
        <w:rPr>
          <w:rFonts w:ascii="Verdana" w:hAnsi="Verdana" w:cs="Verdana"/>
          <w:b/>
          <w:bCs/>
          <w:color w:val="000000"/>
          <w:sz w:val="20"/>
          <w:szCs w:val="20"/>
        </w:rPr>
      </w:pP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2016 HOUSE SESSION SCHEDULE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March </w:t>
      </w:r>
      <w:r w:rsidRPr="006668CE">
        <w:rPr>
          <w:rFonts w:ascii="Verdana" w:hAnsi="Verdana" w:cs="Verdana"/>
          <w:color w:val="000000"/>
          <w:sz w:val="20"/>
          <w:szCs w:val="20"/>
        </w:rPr>
        <w:t xml:space="preserve">14, 15, 16, 21, 22, 23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April </w:t>
      </w:r>
      <w:r w:rsidRPr="006668CE">
        <w:rPr>
          <w:rFonts w:ascii="Verdana" w:hAnsi="Verdana" w:cs="Verdana"/>
          <w:color w:val="000000"/>
          <w:sz w:val="20"/>
          <w:szCs w:val="20"/>
        </w:rPr>
        <w:t xml:space="preserve">4, 5, 6, 11, 12, 13 </w:t>
      </w:r>
    </w:p>
    <w:p w:rsidR="006668CE" w:rsidRPr="006668CE" w:rsidRDefault="006668CE" w:rsidP="006668CE">
      <w:pPr>
        <w:autoSpaceDE w:val="0"/>
        <w:autoSpaceDN w:val="0"/>
        <w:adjustRightInd w:val="0"/>
        <w:rPr>
          <w:rFonts w:ascii="Verdana" w:hAnsi="Verdana" w:cs="Verdana"/>
          <w:color w:val="000000"/>
          <w:sz w:val="20"/>
          <w:szCs w:val="20"/>
        </w:rPr>
      </w:pPr>
      <w:r w:rsidRPr="006668CE">
        <w:rPr>
          <w:rFonts w:ascii="Verdana" w:hAnsi="Verdana" w:cs="Verdana"/>
          <w:b/>
          <w:bCs/>
          <w:color w:val="000000"/>
          <w:sz w:val="20"/>
          <w:szCs w:val="20"/>
        </w:rPr>
        <w:t xml:space="preserve">May </w:t>
      </w:r>
      <w:r w:rsidRPr="006668CE">
        <w:rPr>
          <w:rFonts w:ascii="Verdana" w:hAnsi="Verdana" w:cs="Verdana"/>
          <w:color w:val="000000"/>
          <w:sz w:val="20"/>
          <w:szCs w:val="20"/>
        </w:rPr>
        <w:t xml:space="preserve">2, 3, 4, 16, 17, 18, 23, 24, 25 </w:t>
      </w:r>
    </w:p>
    <w:p w:rsidR="006668CE" w:rsidRPr="006668CE" w:rsidRDefault="006668CE" w:rsidP="006668CE">
      <w:pPr>
        <w:shd w:val="clear" w:color="auto" w:fill="F8F9FB"/>
        <w:jc w:val="both"/>
        <w:textAlignment w:val="baseline"/>
        <w:rPr>
          <w:rFonts w:ascii="Verdana" w:eastAsia="Times New Roman" w:hAnsi="Verdana" w:cs="Arial"/>
          <w:sz w:val="20"/>
          <w:szCs w:val="20"/>
        </w:rPr>
      </w:pPr>
      <w:r w:rsidRPr="006668CE">
        <w:rPr>
          <w:rFonts w:ascii="Verdana" w:eastAsia="Times New Roman" w:hAnsi="Verdana" w:cs="Times New Roman"/>
          <w:b/>
          <w:bCs/>
          <w:sz w:val="20"/>
          <w:szCs w:val="20"/>
        </w:rPr>
        <w:t xml:space="preserve">June </w:t>
      </w:r>
      <w:r w:rsidRPr="006668CE">
        <w:rPr>
          <w:rFonts w:ascii="Verdana" w:eastAsia="Times New Roman" w:hAnsi="Verdana" w:cs="Times New Roman"/>
          <w:sz w:val="20"/>
          <w:szCs w:val="20"/>
        </w:rPr>
        <w:t>6, 7, 8, 13, 14, 15, 20, 21, 22, 23, 24, 25, 26, 27, 28, 29, 30</w:t>
      </w:r>
    </w:p>
    <w:p w:rsidR="00B80DBE" w:rsidRPr="00903DEC" w:rsidRDefault="00B80DBE" w:rsidP="00267FF4">
      <w:pPr>
        <w:pStyle w:val="NormalWeb"/>
        <w:spacing w:before="0" w:beforeAutospacing="0" w:after="0" w:afterAutospacing="0"/>
        <w:rPr>
          <w:rStyle w:val="Strong"/>
          <w:rFonts w:ascii="Verdana" w:hAnsi="Verdana" w:cs="Arial"/>
          <w:sz w:val="20"/>
          <w:szCs w:val="20"/>
        </w:rPr>
      </w:pPr>
    </w:p>
    <w:p w:rsidR="00600D7F" w:rsidRPr="00903DEC" w:rsidRDefault="00600D7F" w:rsidP="007D2680">
      <w:pPr>
        <w:rPr>
          <w:rFonts w:ascii="Verdana" w:eastAsia="Times New Roman" w:hAnsi="Verdana" w:cs="Times New Roman"/>
          <w:sz w:val="20"/>
          <w:szCs w:val="20"/>
        </w:rPr>
      </w:pPr>
    </w:p>
    <w:p w:rsidR="00CB2F4D" w:rsidRDefault="00903DEC" w:rsidP="00CB2F4D">
      <w:pPr>
        <w:shd w:val="clear" w:color="auto" w:fill="FFFFFF"/>
        <w:rPr>
          <w:rFonts w:ascii="Verdana" w:hAnsi="Verdana"/>
          <w:b/>
          <w:sz w:val="20"/>
          <w:szCs w:val="20"/>
          <w:u w:val="single"/>
        </w:rPr>
      </w:pPr>
      <w:r>
        <w:rPr>
          <w:rFonts w:ascii="Verdana" w:hAnsi="Verdana"/>
          <w:b/>
          <w:sz w:val="20"/>
          <w:szCs w:val="20"/>
          <w:u w:val="single"/>
        </w:rPr>
        <w:t>ANNOUNCEMENTS FROM THE PENNSYLVANIA DEPARTMENT OF REVENUE</w:t>
      </w:r>
    </w:p>
    <w:p w:rsidR="00903DEC" w:rsidRDefault="00903DEC" w:rsidP="00CB2F4D">
      <w:pPr>
        <w:shd w:val="clear" w:color="auto" w:fill="FFFFFF"/>
        <w:rPr>
          <w:rFonts w:ascii="Verdana" w:eastAsia="Times New Roman" w:hAnsi="Verdana" w:cs="Arial"/>
          <w:b/>
          <w:bCs/>
          <w:sz w:val="20"/>
          <w:szCs w:val="20"/>
        </w:rPr>
      </w:pPr>
    </w:p>
    <w:p w:rsidR="002D725D" w:rsidRPr="002D725D" w:rsidRDefault="002D725D" w:rsidP="002D725D">
      <w:pPr>
        <w:shd w:val="clear" w:color="auto" w:fill="FFFFFF"/>
        <w:rPr>
          <w:rFonts w:ascii="Verdana" w:eastAsia="Times New Roman" w:hAnsi="Verdana" w:cs="Arial"/>
          <w:b/>
          <w:bCs/>
          <w:sz w:val="20"/>
          <w:szCs w:val="20"/>
          <w:u w:val="single"/>
        </w:rPr>
      </w:pPr>
      <w:r w:rsidRPr="002D725D">
        <w:rPr>
          <w:rFonts w:ascii="Verdana" w:eastAsia="Times New Roman" w:hAnsi="Verdana" w:cs="Arial"/>
          <w:b/>
          <w:bCs/>
          <w:sz w:val="20"/>
          <w:szCs w:val="20"/>
          <w:u w:val="single"/>
        </w:rPr>
        <w:t>DOR RELEASES FEBRUARY 2016 COLLECTIONS</w:t>
      </w:r>
    </w:p>
    <w:p w:rsidR="002D725D" w:rsidRPr="002D725D" w:rsidRDefault="002D725D" w:rsidP="002D725D">
      <w:pPr>
        <w:shd w:val="clear" w:color="auto" w:fill="FFFFFF"/>
        <w:rPr>
          <w:rFonts w:ascii="Verdana" w:eastAsia="Times New Roman" w:hAnsi="Verdana" w:cs="Arial"/>
          <w:sz w:val="20"/>
          <w:szCs w:val="20"/>
        </w:rPr>
      </w:pPr>
      <w:r w:rsidRPr="002D725D">
        <w:rPr>
          <w:rFonts w:ascii="Verdana" w:hAnsi="Verdana"/>
          <w:sz w:val="20"/>
          <w:szCs w:val="20"/>
        </w:rPr>
        <w:t xml:space="preserve">The Pennsylvania Department of Revenue released its February 2016 collections, which indicate revenues came in 2.9% higher than anticipated. Year-to-date collections total $17.8 billion for the General Fund, or 0.3% more than expected.  Itemized tax collections are as follows: </w:t>
      </w:r>
      <w:r w:rsidRPr="002D725D">
        <w:rPr>
          <w:rFonts w:ascii="Verdana" w:eastAsia="Times New Roman" w:hAnsi="Verdana" w:cs="Arial"/>
          <w:sz w:val="20"/>
          <w:szCs w:val="20"/>
        </w:rPr>
        <w:t> </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Sales tax receipts totaled $668.3 million for February, $9.3 million below estimate. Year-to-date sales tax collections total $6.5 billion, which is $3.2 million more than anticipated.</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Personal income tax (PIT) revenue in February was $821 million, $28.9 million below estimate. This brings year-to-date PIT collections to $7.5 billion, which is $19.9 million, or 0.3 percent, below estimate.</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February corporation tax revenue of $105.5 million was $47.7 million above estimate. Year-to-date corporation tax collections total $1.7 billion, which is $43.2 million, or 2.7 percent, above estimate.</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Inheritance tax revenue for the month was $89.6 million, $23.4 million above estimate, bringing the year-to-date total to $604.9 million, which is $19.7 million, or 3.4 percent, above estimate.</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 xml:space="preserve">Realty transfer tax revenue was $33.3 million for </w:t>
      </w:r>
      <w:proofErr w:type="gramStart"/>
      <w:r w:rsidRPr="002D725D">
        <w:rPr>
          <w:rFonts w:ascii="Verdana" w:eastAsia="Times New Roman" w:hAnsi="Verdana" w:cs="Arial"/>
          <w:sz w:val="20"/>
          <w:szCs w:val="20"/>
        </w:rPr>
        <w:t>February,</w:t>
      </w:r>
      <w:proofErr w:type="gramEnd"/>
      <w:r w:rsidRPr="002D725D">
        <w:rPr>
          <w:rFonts w:ascii="Verdana" w:eastAsia="Times New Roman" w:hAnsi="Verdana" w:cs="Arial"/>
          <w:sz w:val="20"/>
          <w:szCs w:val="20"/>
        </w:rPr>
        <w:t xml:space="preserve"> $6.9 million above estimate, bringing the fiscal-year total to $325.1 million, which is $8.7 million, or 2.7 percent, more than anticipated.</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Other General Fund tax revenue, including cigarette, malt beverage, liquor and table games taxes, totaled $101.1 million for the month, $1.6 million below estimate and bringing the year-to-date total to $936.4 million, which is $4.6 million, or 0.5 percent, below estimate.</w:t>
      </w:r>
    </w:p>
    <w:p w:rsidR="002D725D" w:rsidRPr="002D725D" w:rsidRDefault="002D725D" w:rsidP="002D725D">
      <w:pPr>
        <w:pStyle w:val="ListParagraph"/>
        <w:numPr>
          <w:ilvl w:val="0"/>
          <w:numId w:val="2"/>
        </w:numPr>
        <w:shd w:val="clear" w:color="auto" w:fill="FFFFFF"/>
        <w:rPr>
          <w:rFonts w:ascii="Verdana" w:eastAsia="Times New Roman" w:hAnsi="Verdana" w:cs="Arial"/>
          <w:sz w:val="20"/>
          <w:szCs w:val="20"/>
        </w:rPr>
      </w:pPr>
      <w:r w:rsidRPr="002D725D">
        <w:rPr>
          <w:rFonts w:ascii="Verdana" w:eastAsia="Times New Roman" w:hAnsi="Verdana" w:cs="Arial"/>
          <w:sz w:val="20"/>
          <w:szCs w:val="20"/>
        </w:rPr>
        <w:t>Non-tax revenue totaled $35.7 million for the month, $13.2 million above estimate, bringing the year-to-date total to $246 million, which is $10.4 million, or 4.4 percent, above estimate.</w:t>
      </w:r>
    </w:p>
    <w:p w:rsidR="002D725D" w:rsidRPr="002D725D" w:rsidRDefault="002D725D" w:rsidP="002D725D">
      <w:pPr>
        <w:pStyle w:val="ListParagraph"/>
        <w:numPr>
          <w:ilvl w:val="0"/>
          <w:numId w:val="2"/>
        </w:numPr>
        <w:shd w:val="clear" w:color="auto" w:fill="FFFFFF"/>
        <w:rPr>
          <w:rFonts w:ascii="Verdana" w:eastAsia="Times New Roman" w:hAnsi="Verdana" w:cs="Arial"/>
          <w:b/>
          <w:bCs/>
          <w:sz w:val="20"/>
          <w:szCs w:val="20"/>
        </w:rPr>
      </w:pPr>
      <w:r w:rsidRPr="002D725D">
        <w:rPr>
          <w:rFonts w:ascii="Verdana" w:hAnsi="Verdana" w:cs="Arial"/>
          <w:sz w:val="20"/>
          <w:szCs w:val="20"/>
        </w:rPr>
        <w:t>In addition to the General Fund collections, the Motor License Fund received $199.1 million for the month, $11.5 million below estimate. Fiscal year-to-date collections for the fund – which include the commonly known gas and diesel taxes, as well as other license, fine and fee revenues – total $1.7 billion, which is $33.4 million, or 2 percent, below estimate.</w:t>
      </w:r>
    </w:p>
    <w:p w:rsidR="007D2680" w:rsidRDefault="007D2680" w:rsidP="002D725D">
      <w:pPr>
        <w:rPr>
          <w:rFonts w:ascii="Verdana" w:hAnsi="Verdana"/>
          <w:sz w:val="20"/>
          <w:szCs w:val="20"/>
        </w:rPr>
      </w:pPr>
    </w:p>
    <w:p w:rsidR="00D90422" w:rsidRDefault="00D90422" w:rsidP="002D725D">
      <w:pPr>
        <w:rPr>
          <w:rFonts w:ascii="Verdana" w:hAnsi="Verdana"/>
          <w:sz w:val="20"/>
          <w:szCs w:val="20"/>
        </w:rPr>
      </w:pPr>
    </w:p>
    <w:p w:rsidR="00F74E00" w:rsidRPr="00F74E00" w:rsidRDefault="00F74E00" w:rsidP="00F74E00">
      <w:pPr>
        <w:rPr>
          <w:rFonts w:ascii="Verdana" w:hAnsi="Verdana"/>
          <w:b/>
          <w:sz w:val="20"/>
          <w:szCs w:val="20"/>
          <w:u w:val="single"/>
        </w:rPr>
      </w:pPr>
      <w:r w:rsidRPr="00F74E00">
        <w:rPr>
          <w:rFonts w:ascii="Verdana" w:hAnsi="Verdana"/>
          <w:b/>
          <w:sz w:val="20"/>
          <w:szCs w:val="20"/>
          <w:u w:val="single"/>
        </w:rPr>
        <w:t>INDEPENDENT REGULATORY REVIEW COMMISSION ANNOUNCEMENTS</w:t>
      </w:r>
    </w:p>
    <w:p w:rsidR="00F74E00" w:rsidRDefault="00F74E00" w:rsidP="00F74E00">
      <w:pPr>
        <w:rPr>
          <w:rFonts w:ascii="Verdana" w:hAnsi="Verdana"/>
          <w:sz w:val="20"/>
          <w:szCs w:val="20"/>
        </w:rPr>
      </w:pPr>
    </w:p>
    <w:p w:rsidR="00F74E00" w:rsidRPr="00F74E00" w:rsidRDefault="00F74E00" w:rsidP="00F74E00">
      <w:pPr>
        <w:rPr>
          <w:rFonts w:ascii="Verdana" w:hAnsi="Verdana"/>
          <w:b/>
          <w:sz w:val="20"/>
          <w:szCs w:val="20"/>
          <w:u w:val="single"/>
        </w:rPr>
      </w:pPr>
      <w:r w:rsidRPr="00F74E00">
        <w:rPr>
          <w:rFonts w:ascii="Verdana" w:hAnsi="Verdana"/>
          <w:b/>
          <w:sz w:val="20"/>
          <w:szCs w:val="20"/>
          <w:u w:val="single"/>
        </w:rPr>
        <w:t>BOARD OF FINANCE AND REVIEW FINAL FORM REGULATION #64-5</w:t>
      </w:r>
    </w:p>
    <w:p w:rsidR="00D90422" w:rsidRPr="00903DEC" w:rsidRDefault="00F74E00" w:rsidP="00F74E00">
      <w:pPr>
        <w:rPr>
          <w:rFonts w:ascii="Verdana" w:hAnsi="Verdana"/>
          <w:sz w:val="20"/>
          <w:szCs w:val="20"/>
        </w:rPr>
      </w:pPr>
      <w:r w:rsidRPr="00F74E00">
        <w:rPr>
          <w:rFonts w:ascii="Verdana" w:hAnsi="Verdana"/>
          <w:sz w:val="20"/>
          <w:szCs w:val="20"/>
        </w:rPr>
        <w:t>The Board of Finance and Review’s final form regulation #64-5 (General Provisions; Tax and Other Appeal Proceedings), will be considered by IRRC at its March 10, 2016 public meeting.  The final form regulation provides for administrative procedures related to the filing, consideration and final resolutions of appeals from decisions of the Department of Revenue.</w:t>
      </w:r>
    </w:p>
    <w:sectPr w:rsidR="00D90422" w:rsidRPr="00903DEC" w:rsidSect="005B1E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CD7"/>
    <w:multiLevelType w:val="hybridMultilevel"/>
    <w:tmpl w:val="C5F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9359A"/>
    <w:multiLevelType w:val="hybridMultilevel"/>
    <w:tmpl w:val="E86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1"/>
    <w:rsid w:val="000478CB"/>
    <w:rsid w:val="00086B95"/>
    <w:rsid w:val="00192DE9"/>
    <w:rsid w:val="001F0CC9"/>
    <w:rsid w:val="00267FF4"/>
    <w:rsid w:val="002D725D"/>
    <w:rsid w:val="002E3276"/>
    <w:rsid w:val="003B4C05"/>
    <w:rsid w:val="003D0A0D"/>
    <w:rsid w:val="003D0EC7"/>
    <w:rsid w:val="003D78C1"/>
    <w:rsid w:val="00445D6D"/>
    <w:rsid w:val="004B7ED1"/>
    <w:rsid w:val="004E19E7"/>
    <w:rsid w:val="004E7E02"/>
    <w:rsid w:val="0052264F"/>
    <w:rsid w:val="0055284A"/>
    <w:rsid w:val="00572D2B"/>
    <w:rsid w:val="005B1E9E"/>
    <w:rsid w:val="00600D7F"/>
    <w:rsid w:val="00621098"/>
    <w:rsid w:val="006668CE"/>
    <w:rsid w:val="006E0041"/>
    <w:rsid w:val="007D2680"/>
    <w:rsid w:val="00810751"/>
    <w:rsid w:val="008D6B5F"/>
    <w:rsid w:val="00903DEC"/>
    <w:rsid w:val="00A54473"/>
    <w:rsid w:val="00A858F6"/>
    <w:rsid w:val="00AD4F3E"/>
    <w:rsid w:val="00B31963"/>
    <w:rsid w:val="00B80DBE"/>
    <w:rsid w:val="00C07C97"/>
    <w:rsid w:val="00CA2431"/>
    <w:rsid w:val="00CA3417"/>
    <w:rsid w:val="00CB2F4D"/>
    <w:rsid w:val="00CF1D24"/>
    <w:rsid w:val="00D210D3"/>
    <w:rsid w:val="00D443E9"/>
    <w:rsid w:val="00D90422"/>
    <w:rsid w:val="00E41386"/>
    <w:rsid w:val="00EE512A"/>
    <w:rsid w:val="00F35E02"/>
    <w:rsid w:val="00F74E00"/>
    <w:rsid w:val="00FB3906"/>
    <w:rsid w:val="00FC2958"/>
    <w:rsid w:val="00FC59C7"/>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392">
      <w:bodyDiv w:val="1"/>
      <w:marLeft w:val="0"/>
      <w:marRight w:val="0"/>
      <w:marTop w:val="0"/>
      <w:marBottom w:val="0"/>
      <w:divBdr>
        <w:top w:val="none" w:sz="0" w:space="0" w:color="auto"/>
        <w:left w:val="none" w:sz="0" w:space="0" w:color="auto"/>
        <w:bottom w:val="none" w:sz="0" w:space="0" w:color="auto"/>
        <w:right w:val="none" w:sz="0" w:space="0" w:color="auto"/>
      </w:divBdr>
    </w:div>
    <w:div w:id="683553945">
      <w:bodyDiv w:val="1"/>
      <w:marLeft w:val="0"/>
      <w:marRight w:val="0"/>
      <w:marTop w:val="0"/>
      <w:marBottom w:val="0"/>
      <w:divBdr>
        <w:top w:val="none" w:sz="0" w:space="0" w:color="auto"/>
        <w:left w:val="none" w:sz="0" w:space="0" w:color="auto"/>
        <w:bottom w:val="none" w:sz="0" w:space="0" w:color="auto"/>
        <w:right w:val="none" w:sz="0" w:space="0" w:color="auto"/>
      </w:divBdr>
    </w:div>
    <w:div w:id="1041900111">
      <w:bodyDiv w:val="1"/>
      <w:marLeft w:val="0"/>
      <w:marRight w:val="0"/>
      <w:marTop w:val="0"/>
      <w:marBottom w:val="0"/>
      <w:divBdr>
        <w:top w:val="none" w:sz="0" w:space="0" w:color="auto"/>
        <w:left w:val="none" w:sz="0" w:space="0" w:color="auto"/>
        <w:bottom w:val="none" w:sz="0" w:space="0" w:color="auto"/>
        <w:right w:val="none" w:sz="0" w:space="0" w:color="auto"/>
      </w:divBdr>
    </w:div>
    <w:div w:id="1163861231">
      <w:bodyDiv w:val="1"/>
      <w:marLeft w:val="0"/>
      <w:marRight w:val="0"/>
      <w:marTop w:val="0"/>
      <w:marBottom w:val="0"/>
      <w:divBdr>
        <w:top w:val="none" w:sz="0" w:space="0" w:color="auto"/>
        <w:left w:val="none" w:sz="0" w:space="0" w:color="auto"/>
        <w:bottom w:val="none" w:sz="0" w:space="0" w:color="auto"/>
        <w:right w:val="none" w:sz="0" w:space="0" w:color="auto"/>
      </w:divBdr>
      <w:divsChild>
        <w:div w:id="1774013594">
          <w:marLeft w:val="0"/>
          <w:marRight w:val="0"/>
          <w:marTop w:val="0"/>
          <w:marBottom w:val="0"/>
          <w:divBdr>
            <w:top w:val="none" w:sz="0" w:space="0" w:color="auto"/>
            <w:left w:val="none" w:sz="0" w:space="0" w:color="auto"/>
            <w:bottom w:val="none" w:sz="0" w:space="0" w:color="auto"/>
            <w:right w:val="none" w:sz="0" w:space="0" w:color="auto"/>
          </w:divBdr>
        </w:div>
      </w:divsChild>
    </w:div>
    <w:div w:id="1180461931">
      <w:bodyDiv w:val="1"/>
      <w:marLeft w:val="0"/>
      <w:marRight w:val="0"/>
      <w:marTop w:val="0"/>
      <w:marBottom w:val="0"/>
      <w:divBdr>
        <w:top w:val="none" w:sz="0" w:space="0" w:color="auto"/>
        <w:left w:val="none" w:sz="0" w:space="0" w:color="auto"/>
        <w:bottom w:val="none" w:sz="0" w:space="0" w:color="auto"/>
        <w:right w:val="none" w:sz="0" w:space="0" w:color="auto"/>
      </w:divBdr>
    </w:div>
    <w:div w:id="1603950764">
      <w:bodyDiv w:val="1"/>
      <w:marLeft w:val="0"/>
      <w:marRight w:val="0"/>
      <w:marTop w:val="0"/>
      <w:marBottom w:val="0"/>
      <w:divBdr>
        <w:top w:val="none" w:sz="0" w:space="0" w:color="auto"/>
        <w:left w:val="none" w:sz="0" w:space="0" w:color="auto"/>
        <w:bottom w:val="none" w:sz="0" w:space="0" w:color="auto"/>
        <w:right w:val="none" w:sz="0" w:space="0" w:color="auto"/>
      </w:divBdr>
    </w:div>
    <w:div w:id="2003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2016-03-04T15:57:00Z</dcterms:created>
  <dcterms:modified xsi:type="dcterms:W3CDTF">2016-03-04T15:57:00Z</dcterms:modified>
</cp:coreProperties>
</file>