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4C1714" w:rsidP="00635217">
      <w:pPr>
        <w:spacing w:before="2" w:after="0" w:line="120" w:lineRule="exact"/>
        <w:rPr>
          <w:sz w:val="12"/>
          <w:szCs w:val="12"/>
        </w:rPr>
      </w:pPr>
      <w:r w:rsidRPr="004C1714">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8"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2677BE">
        <w:rPr>
          <w:rFonts w:ascii="Verdana" w:eastAsia="Verdana" w:hAnsi="Verdana" w:cs="Verdana"/>
        </w:rPr>
        <w:t xml:space="preserve">July </w:t>
      </w:r>
      <w:r w:rsidR="00607E3D">
        <w:rPr>
          <w:rFonts w:ascii="Verdana" w:eastAsia="Verdana" w:hAnsi="Verdana" w:cs="Verdana"/>
        </w:rPr>
        <w:t>1</w:t>
      </w:r>
      <w:r w:rsidR="00E663C6">
        <w:rPr>
          <w:rFonts w:ascii="Verdana" w:eastAsia="Verdana" w:hAnsi="Verdana" w:cs="Verdana"/>
        </w:rPr>
        <w:t>7</w:t>
      </w:r>
      <w:r w:rsidR="0045141B">
        <w:rPr>
          <w:rFonts w:ascii="Verdana" w:eastAsia="Verdana" w:hAnsi="Verdana" w:cs="Verdana"/>
        </w:rPr>
        <w:t>,</w:t>
      </w:r>
      <w:r w:rsidR="00D068F2" w:rsidRPr="00B07C1A">
        <w:rPr>
          <w:rFonts w:ascii="Verdana" w:eastAsia="Verdana" w:hAnsi="Verdana" w:cs="Verdana"/>
        </w:rPr>
        <w:t xml:space="preserve"> 2017</w:t>
      </w:r>
    </w:p>
    <w:p w:rsidR="00B84273" w:rsidRDefault="00635217" w:rsidP="00B84273">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rsidR="003B58F1" w:rsidRPr="003B58F1" w:rsidRDefault="003B58F1" w:rsidP="003B58F1">
      <w:pPr>
        <w:rPr>
          <w:b/>
          <w:bCs/>
          <w:color w:val="000000"/>
          <w:sz w:val="20"/>
          <w:szCs w:val="20"/>
        </w:rPr>
      </w:pPr>
    </w:p>
    <w:p w:rsidR="00E663C6" w:rsidRPr="00E663C6" w:rsidRDefault="00E663C6" w:rsidP="00E663C6">
      <w:pPr>
        <w:pStyle w:val="NoSpacing"/>
        <w:rPr>
          <w:rFonts w:ascii="Verdana" w:hAnsi="Verdana"/>
          <w:b/>
          <w:caps/>
          <w:sz w:val="22"/>
          <w:szCs w:val="20"/>
          <w:u w:val="thick"/>
        </w:rPr>
      </w:pPr>
      <w:r w:rsidRPr="00E663C6">
        <w:rPr>
          <w:rFonts w:ascii="Verdana" w:hAnsi="Verdana"/>
          <w:b/>
          <w:caps/>
          <w:sz w:val="22"/>
          <w:szCs w:val="20"/>
          <w:u w:val="thick"/>
        </w:rPr>
        <w:t>Without revenue package, treasurer warns, Pa. might have to stop spending</w:t>
      </w:r>
    </w:p>
    <w:p w:rsidR="00E663C6" w:rsidRPr="00E663C6" w:rsidRDefault="00E663C6" w:rsidP="00E663C6">
      <w:pPr>
        <w:pStyle w:val="NoSpacing"/>
        <w:rPr>
          <w:rFonts w:ascii="Verdana" w:hAnsi="Verdana" w:cs="Arial"/>
          <w:sz w:val="20"/>
          <w:szCs w:val="20"/>
        </w:rPr>
      </w:pPr>
      <w:r w:rsidRPr="00E663C6">
        <w:rPr>
          <w:rFonts w:ascii="Verdana" w:hAnsi="Verdana" w:cs="Arial"/>
          <w:sz w:val="20"/>
          <w:szCs w:val="20"/>
        </w:rPr>
        <w:t xml:space="preserve">State Treasurer Joe </w:t>
      </w:r>
      <w:proofErr w:type="spellStart"/>
      <w:r w:rsidRPr="00E663C6">
        <w:rPr>
          <w:rFonts w:ascii="Verdana" w:hAnsi="Verdana" w:cs="Arial"/>
          <w:sz w:val="20"/>
          <w:szCs w:val="20"/>
        </w:rPr>
        <w:t>Torsella</w:t>
      </w:r>
      <w:proofErr w:type="spellEnd"/>
      <w:r w:rsidRPr="00E663C6">
        <w:rPr>
          <w:rFonts w:ascii="Verdana" w:hAnsi="Verdana" w:cs="Arial"/>
          <w:sz w:val="20"/>
          <w:szCs w:val="20"/>
        </w:rPr>
        <w:t xml:space="preserve"> warned that Pennsylvania could run out of money to pay its bills by the end of August unless the Legislature quickly passes a revenue package to balance its budget.</w:t>
      </w:r>
      <w:r>
        <w:rPr>
          <w:rFonts w:ascii="Verdana" w:hAnsi="Verdana" w:cs="Arial"/>
          <w:sz w:val="20"/>
          <w:szCs w:val="20"/>
        </w:rPr>
        <w:t xml:space="preserve"> </w:t>
      </w:r>
      <w:r w:rsidRPr="00E663C6">
        <w:rPr>
          <w:rFonts w:ascii="Verdana" w:hAnsi="Verdana" w:cs="Arial"/>
          <w:sz w:val="20"/>
          <w:szCs w:val="20"/>
        </w:rPr>
        <w:t xml:space="preserve">That’s alarmingly early in the fiscal year, said Mr. </w:t>
      </w:r>
      <w:proofErr w:type="spellStart"/>
      <w:r w:rsidRPr="00E663C6">
        <w:rPr>
          <w:rFonts w:ascii="Verdana" w:hAnsi="Verdana" w:cs="Arial"/>
          <w:sz w:val="20"/>
          <w:szCs w:val="20"/>
        </w:rPr>
        <w:t>Torsella</w:t>
      </w:r>
      <w:proofErr w:type="spellEnd"/>
      <w:r w:rsidRPr="00E663C6">
        <w:rPr>
          <w:rFonts w:ascii="Verdana" w:hAnsi="Verdana" w:cs="Arial"/>
          <w:sz w:val="20"/>
          <w:szCs w:val="20"/>
        </w:rPr>
        <w:t>, who added that he fears the state’s cash-flow problems could last for a worrisome eight straight months.</w:t>
      </w:r>
      <w:r>
        <w:rPr>
          <w:rFonts w:ascii="Verdana" w:hAnsi="Verdana" w:cs="Arial"/>
          <w:sz w:val="20"/>
          <w:szCs w:val="20"/>
        </w:rPr>
        <w:t xml:space="preserve"> </w:t>
      </w:r>
      <w:r w:rsidRPr="00E663C6">
        <w:rPr>
          <w:rFonts w:ascii="Verdana" w:hAnsi="Verdana" w:cs="Arial"/>
          <w:sz w:val="20"/>
          <w:szCs w:val="20"/>
        </w:rPr>
        <w:t>If the state did run out of money, Gov. Tom Wolf could be forced to make dramatic cuts.</w:t>
      </w:r>
      <w:r>
        <w:rPr>
          <w:rFonts w:ascii="Verdana" w:hAnsi="Verdana" w:cs="Arial"/>
          <w:sz w:val="20"/>
          <w:szCs w:val="20"/>
        </w:rPr>
        <w:t xml:space="preserve">  </w:t>
      </w:r>
      <w:r w:rsidRPr="00E663C6">
        <w:rPr>
          <w:rFonts w:ascii="Verdana" w:hAnsi="Verdana" w:cs="Arial"/>
          <w:sz w:val="20"/>
          <w:szCs w:val="20"/>
        </w:rPr>
        <w:t>The treasurer’s office predicts that without a revenue package, the general fund -- the state's main bank account -- would need to borrow as much as $3 billion this fiscal year.</w:t>
      </w:r>
      <w:r>
        <w:rPr>
          <w:rFonts w:ascii="Verdana" w:hAnsi="Verdana" w:cs="Arial"/>
          <w:sz w:val="20"/>
          <w:szCs w:val="20"/>
        </w:rPr>
        <w:t xml:space="preserve"> </w:t>
      </w:r>
      <w:r w:rsidRPr="00E663C6">
        <w:rPr>
          <w:rFonts w:ascii="Verdana" w:hAnsi="Verdana" w:cs="Arial"/>
          <w:sz w:val="20"/>
          <w:szCs w:val="20"/>
        </w:rPr>
        <w:t xml:space="preserve">Money in the general fund regularly ebbs and flows throughout the year, and the Treasury typically provides short-term loans to cover the state when its account is short. But in recent years, Mr. </w:t>
      </w:r>
      <w:proofErr w:type="spellStart"/>
      <w:r w:rsidRPr="00E663C6">
        <w:rPr>
          <w:rFonts w:ascii="Verdana" w:hAnsi="Verdana" w:cs="Arial"/>
          <w:sz w:val="20"/>
          <w:szCs w:val="20"/>
        </w:rPr>
        <w:t>Torsella</w:t>
      </w:r>
      <w:proofErr w:type="spellEnd"/>
      <w:r w:rsidRPr="00E663C6">
        <w:rPr>
          <w:rFonts w:ascii="Verdana" w:hAnsi="Verdana" w:cs="Arial"/>
          <w:sz w:val="20"/>
          <w:szCs w:val="20"/>
        </w:rPr>
        <w:t xml:space="preserve"> said, the loan amounts have increased and covered longer periods of time.</w:t>
      </w:r>
    </w:p>
    <w:p w:rsidR="00E663C6" w:rsidRPr="00E663C6" w:rsidRDefault="00E663C6" w:rsidP="00E663C6">
      <w:pPr>
        <w:pStyle w:val="NoSpacing"/>
        <w:rPr>
          <w:rFonts w:ascii="Verdana" w:hAnsi="Verdana"/>
          <w:b/>
          <w:caps/>
          <w:sz w:val="22"/>
          <w:szCs w:val="20"/>
          <w:u w:val="thick"/>
        </w:rPr>
      </w:pPr>
      <w:r w:rsidRPr="00E663C6">
        <w:rPr>
          <w:rFonts w:ascii="Verdana" w:hAnsi="Verdana"/>
          <w:b/>
          <w:caps/>
          <w:sz w:val="22"/>
          <w:szCs w:val="20"/>
          <w:u w:val="thick"/>
        </w:rPr>
        <w:t>PA Senate leaves town as leaders mull House GOP revenue counterproposal</w:t>
      </w:r>
    </w:p>
    <w:p w:rsidR="00E663C6" w:rsidRPr="00F731D1" w:rsidRDefault="00E663C6" w:rsidP="00F731D1">
      <w:pPr>
        <w:pStyle w:val="NoSpacing"/>
        <w:rPr>
          <w:rFonts w:ascii="Verdana" w:hAnsi="Verdana" w:cs="Arial"/>
          <w:color w:val="333333"/>
          <w:sz w:val="20"/>
          <w:szCs w:val="16"/>
        </w:rPr>
      </w:pPr>
      <w:r w:rsidRPr="00F731D1">
        <w:rPr>
          <w:rFonts w:ascii="Verdana" w:hAnsi="Verdana"/>
          <w:sz w:val="20"/>
          <w:bdr w:val="none" w:sz="0" w:space="0" w:color="auto" w:frame="1"/>
        </w:rPr>
        <w:t>The Pennsylvania Senate left Harrisburg Tuesday afternoon after a consensus failed to emerge on a plan to plug a $2.2 billion revenue hole that will close out the recently concluded fiscal year and balance the current fiscal year’s spending plan.</w:t>
      </w:r>
      <w:r w:rsidRPr="00F731D1">
        <w:rPr>
          <w:rFonts w:ascii="Verdana" w:hAnsi="Verdana"/>
          <w:sz w:val="20"/>
        </w:rPr>
        <w:t xml:space="preserve"> </w:t>
      </w:r>
      <w:r w:rsidRPr="00F731D1">
        <w:rPr>
          <w:rFonts w:ascii="Verdana" w:hAnsi="Verdana"/>
          <w:sz w:val="20"/>
          <w:bdr w:val="none" w:sz="0" w:space="0" w:color="auto" w:frame="1"/>
        </w:rPr>
        <w:t>At this point, the Senate hopes to return to Harrisburg no later than Monday, though whether they could return sooner remained up in the air as discussions on reaching a revenue compromise continue.</w:t>
      </w:r>
      <w:r w:rsidRPr="00F731D1">
        <w:rPr>
          <w:rFonts w:ascii="Verdana" w:hAnsi="Verdana"/>
          <w:sz w:val="20"/>
        </w:rPr>
        <w:t xml:space="preserve"> </w:t>
      </w:r>
      <w:r w:rsidR="00F731D1" w:rsidRPr="00F731D1">
        <w:rPr>
          <w:rFonts w:ascii="Verdana" w:hAnsi="Verdana"/>
          <w:sz w:val="20"/>
        </w:rPr>
        <w:t>By all indications, House Republican negotiations have been taken over by House Speaker Mike Turzai (R-Allegheny) who, on Tuesday, presented a plan to Senate Republicans that would not raise any taxes, but instead rely on gaming expansion, further liquor privatization, and fund transfers in addition to borrowing at least $1.5 billion to balance the recently concluded fiscal year’s budget. While the menu of revenue options out there really has not changed much over the last several weeks, Speaker Turzai emphatically declared that a floated concept of charging a gross receipts tax on consumer use of natural gas was off the table.</w:t>
      </w:r>
      <w:r w:rsidR="00F731D1">
        <w:rPr>
          <w:rFonts w:ascii="Verdana" w:hAnsi="Verdana"/>
          <w:sz w:val="20"/>
        </w:rPr>
        <w:t xml:space="preserve"> </w:t>
      </w:r>
      <w:r w:rsidR="00C8563C">
        <w:rPr>
          <w:rFonts w:ascii="Verdana" w:hAnsi="Verdana"/>
          <w:sz w:val="20"/>
        </w:rPr>
        <w:t>Negotiations are ongoing and the</w:t>
      </w:r>
      <w:r w:rsidR="00F731D1">
        <w:rPr>
          <w:rFonts w:ascii="Verdana" w:hAnsi="Verdana"/>
          <w:sz w:val="20"/>
        </w:rPr>
        <w:t xml:space="preserve"> House is expected to reconvene on Saturday July 22</w:t>
      </w:r>
      <w:r w:rsidR="00F731D1" w:rsidRPr="00F731D1">
        <w:rPr>
          <w:rFonts w:ascii="Verdana" w:hAnsi="Verdana"/>
          <w:sz w:val="20"/>
          <w:vertAlign w:val="superscript"/>
        </w:rPr>
        <w:t>nd</w:t>
      </w:r>
      <w:r w:rsidR="00F731D1">
        <w:rPr>
          <w:rFonts w:ascii="Verdana" w:hAnsi="Verdana"/>
          <w:sz w:val="20"/>
        </w:rPr>
        <w:t xml:space="preserve"> and Sunday July 23</w:t>
      </w:r>
      <w:r w:rsidR="00F731D1" w:rsidRPr="00F731D1">
        <w:rPr>
          <w:rFonts w:ascii="Verdana" w:hAnsi="Verdana"/>
          <w:sz w:val="20"/>
          <w:vertAlign w:val="superscript"/>
        </w:rPr>
        <w:t>rd</w:t>
      </w:r>
      <w:r w:rsidR="00F731D1">
        <w:rPr>
          <w:rFonts w:ascii="Verdana" w:hAnsi="Verdana"/>
          <w:sz w:val="20"/>
        </w:rPr>
        <w:t xml:space="preserve">. </w:t>
      </w:r>
    </w:p>
    <w:p w:rsidR="00E663C6" w:rsidRPr="00E663C6" w:rsidRDefault="00E663C6" w:rsidP="00E663C6">
      <w:pPr>
        <w:pStyle w:val="NoSpacing"/>
        <w:rPr>
          <w:rFonts w:ascii="Verdana" w:hAnsi="Verdana"/>
          <w:b/>
          <w:bCs/>
          <w:caps/>
          <w:sz w:val="22"/>
          <w:u w:val="thick"/>
        </w:rPr>
      </w:pPr>
      <w:r w:rsidRPr="00E663C6">
        <w:rPr>
          <w:rFonts w:ascii="Verdana" w:hAnsi="Verdana"/>
          <w:b/>
          <w:caps/>
          <w:sz w:val="22"/>
          <w:u w:val="thick"/>
        </w:rPr>
        <w:t>Beverage industry appeals to Pa. Supreme Court</w:t>
      </w:r>
    </w:p>
    <w:p w:rsidR="00E663C6" w:rsidRPr="00E663C6" w:rsidRDefault="00E663C6" w:rsidP="00E663C6">
      <w:pPr>
        <w:pStyle w:val="NoSpacing"/>
        <w:rPr>
          <w:rFonts w:ascii="Verdana" w:hAnsi="Verdana"/>
          <w:sz w:val="20"/>
        </w:rPr>
      </w:pPr>
      <w:r w:rsidRPr="00E663C6">
        <w:rPr>
          <w:rFonts w:ascii="Verdana" w:hAnsi="Verdana"/>
          <w:sz w:val="20"/>
        </w:rPr>
        <w:t>The American Beverage Association, along with local merchants fighting the Philadelphia Sweetened Beverage Tax, has appealed a</w:t>
      </w:r>
      <w:r w:rsidRPr="00E663C6">
        <w:rPr>
          <w:rStyle w:val="apple-converted-space"/>
          <w:rFonts w:ascii="Verdana" w:hAnsi="Verdana"/>
          <w:sz w:val="20"/>
        </w:rPr>
        <w:t> </w:t>
      </w:r>
      <w:r w:rsidRPr="00E663C6">
        <w:rPr>
          <w:rFonts w:ascii="Verdana" w:hAnsi="Verdana"/>
          <w:sz w:val="20"/>
        </w:rPr>
        <w:t>June ruling upholding the levy.</w:t>
      </w:r>
      <w:r>
        <w:rPr>
          <w:rFonts w:ascii="Verdana" w:hAnsi="Verdana"/>
          <w:sz w:val="20"/>
        </w:rPr>
        <w:t xml:space="preserve"> </w:t>
      </w:r>
      <w:r w:rsidRPr="00E663C6">
        <w:rPr>
          <w:rFonts w:ascii="Verdana" w:hAnsi="Verdana"/>
          <w:sz w:val="20"/>
        </w:rPr>
        <w:t>The appeal to the state Supreme Court filed Thursday argues the tax is unlawful because it is passed on to consumers and amounts to a double tax at the register, where customers already pay sales tax. The tax is levied on distributors, and lower courts have ruled twice in favor of the city. Most recently, a panel of seven judges in Commonwealth Court ruled 5-2 upholding the tax.</w:t>
      </w:r>
      <w:r>
        <w:rPr>
          <w:rFonts w:ascii="Verdana" w:hAnsi="Verdana"/>
          <w:sz w:val="20"/>
        </w:rPr>
        <w:t xml:space="preserve"> </w:t>
      </w:r>
      <w:r w:rsidRPr="00E663C6">
        <w:rPr>
          <w:rFonts w:ascii="Verdana" w:hAnsi="Verdana"/>
          <w:sz w:val="20"/>
        </w:rPr>
        <w:t>As long as the tax is in litigation, the city has said it will not ramp up the programs the levy funds, which include a citywide pre-K program and borrowing money to rebuild the city’s parks, recreation centers, and libraries.</w:t>
      </w:r>
      <w:r>
        <w:rPr>
          <w:rStyle w:val="pgevoke-story-toparea-cutout-gallerybutton-number"/>
          <w:rFonts w:ascii="Arial" w:hAnsi="Arial" w:cs="Arial"/>
          <w:color w:val="FFFFFF"/>
          <w:sz w:val="15"/>
          <w:szCs w:val="15"/>
        </w:rPr>
        <w:t>3</w:t>
      </w:r>
    </w:p>
    <w:p w:rsidR="00617F17" w:rsidRPr="0028278A" w:rsidRDefault="00617F17" w:rsidP="00617F17">
      <w:pPr>
        <w:pStyle w:val="NoSpacing"/>
        <w:rPr>
          <w:rFonts w:ascii="Verdana" w:hAnsi="Verdana"/>
          <w:b/>
          <w:caps/>
          <w:sz w:val="22"/>
          <w:szCs w:val="22"/>
          <w:u w:val="thick"/>
        </w:rPr>
      </w:pPr>
      <w:r w:rsidRPr="0028278A">
        <w:rPr>
          <w:rFonts w:ascii="Verdana" w:hAnsi="Verdana"/>
          <w:b/>
          <w:caps/>
          <w:sz w:val="22"/>
          <w:u w:val="thick"/>
        </w:rPr>
        <w:t>Phone scammers impersonating state Treasury workers</w:t>
      </w:r>
    </w:p>
    <w:p w:rsidR="00617F17" w:rsidRPr="00617F17" w:rsidRDefault="00617F17" w:rsidP="00E663C6">
      <w:pPr>
        <w:pStyle w:val="NoSpacing"/>
        <w:rPr>
          <w:rFonts w:ascii="Verdana" w:hAnsi="Verdana"/>
          <w:sz w:val="20"/>
          <w:szCs w:val="20"/>
        </w:rPr>
      </w:pPr>
      <w:r w:rsidRPr="0028278A">
        <w:rPr>
          <w:rFonts w:ascii="Verdana" w:hAnsi="Verdana"/>
          <w:sz w:val="20"/>
          <w:szCs w:val="20"/>
        </w:rPr>
        <w:t xml:space="preserve">State Rep. Dan </w:t>
      </w:r>
      <w:proofErr w:type="spellStart"/>
      <w:r w:rsidRPr="0028278A">
        <w:rPr>
          <w:rFonts w:ascii="Verdana" w:hAnsi="Verdana"/>
          <w:sz w:val="20"/>
          <w:szCs w:val="20"/>
        </w:rPr>
        <w:t>Deasy</w:t>
      </w:r>
      <w:proofErr w:type="spellEnd"/>
      <w:r w:rsidRPr="0028278A">
        <w:rPr>
          <w:rFonts w:ascii="Verdana" w:hAnsi="Verdana"/>
          <w:sz w:val="20"/>
          <w:szCs w:val="20"/>
        </w:rPr>
        <w:t xml:space="preserve">, D-Allegheny, alerted residents to a telephone scam where fraud artists claiming to be state Treasury employees threaten arrest if unpaid taxes are not paid. “Treasury employees would never call residents in an attempt to collect taxes or solicit a payment over the phone,” </w:t>
      </w:r>
      <w:proofErr w:type="spellStart"/>
      <w:r w:rsidRPr="0028278A">
        <w:rPr>
          <w:rFonts w:ascii="Verdana" w:hAnsi="Verdana"/>
          <w:sz w:val="20"/>
          <w:szCs w:val="20"/>
        </w:rPr>
        <w:t>Deasy</w:t>
      </w:r>
      <w:proofErr w:type="spellEnd"/>
      <w:r w:rsidRPr="0028278A">
        <w:rPr>
          <w:rFonts w:ascii="Verdana" w:hAnsi="Verdana"/>
          <w:sz w:val="20"/>
          <w:szCs w:val="20"/>
        </w:rPr>
        <w:t xml:space="preserve"> said. “This is yet another criminal scheme to defraud people.” </w:t>
      </w:r>
      <w:proofErr w:type="spellStart"/>
      <w:r w:rsidRPr="0028278A">
        <w:rPr>
          <w:rFonts w:ascii="Verdana" w:hAnsi="Verdana"/>
          <w:sz w:val="20"/>
          <w:szCs w:val="20"/>
        </w:rPr>
        <w:t>Deasy</w:t>
      </w:r>
      <w:proofErr w:type="spellEnd"/>
      <w:r w:rsidRPr="0028278A">
        <w:rPr>
          <w:rFonts w:ascii="Verdana" w:hAnsi="Verdana"/>
          <w:sz w:val="20"/>
          <w:szCs w:val="20"/>
        </w:rPr>
        <w:t xml:space="preserve"> said residents receiving such a call should cease contact immediately and refrain from sharing personal financial information, especially bank account or credit card numbers. Suspicious calls should be reported to the state Attorney General’s Office, Bureau of Consumer Protection, at 1-800-441-2555 or by email at</w:t>
      </w:r>
      <w:r w:rsidRPr="0028278A">
        <w:rPr>
          <w:rStyle w:val="apple-converted-space"/>
          <w:rFonts w:ascii="Verdana" w:hAnsi="Verdana"/>
          <w:color w:val="000000"/>
          <w:sz w:val="20"/>
          <w:szCs w:val="20"/>
        </w:rPr>
        <w:t> </w:t>
      </w:r>
      <w:r w:rsidRPr="004623D0">
        <w:rPr>
          <w:rFonts w:ascii="Verdana" w:hAnsi="Verdana"/>
          <w:sz w:val="20"/>
          <w:szCs w:val="20"/>
        </w:rPr>
        <w:t>scams@attorneygeneral.gov</w:t>
      </w:r>
      <w:r w:rsidRPr="0028278A">
        <w:rPr>
          <w:rFonts w:ascii="Verdana" w:hAnsi="Verdana"/>
          <w:sz w:val="20"/>
          <w:szCs w:val="20"/>
        </w:rPr>
        <w:t xml:space="preserve">. </w:t>
      </w:r>
      <w:proofErr w:type="spellStart"/>
      <w:r w:rsidRPr="0028278A">
        <w:rPr>
          <w:rFonts w:ascii="Verdana" w:hAnsi="Verdana"/>
          <w:sz w:val="20"/>
          <w:szCs w:val="20"/>
        </w:rPr>
        <w:t>Deasy</w:t>
      </w:r>
      <w:proofErr w:type="spellEnd"/>
      <w:r w:rsidRPr="0028278A">
        <w:rPr>
          <w:rFonts w:ascii="Verdana" w:hAnsi="Verdana"/>
          <w:sz w:val="20"/>
          <w:szCs w:val="20"/>
        </w:rPr>
        <w:t xml:space="preserve"> said state Treasurer Joe </w:t>
      </w:r>
      <w:proofErr w:type="spellStart"/>
      <w:r w:rsidRPr="0028278A">
        <w:rPr>
          <w:rFonts w:ascii="Verdana" w:hAnsi="Verdana"/>
          <w:sz w:val="20"/>
          <w:szCs w:val="20"/>
        </w:rPr>
        <w:t>Torsella</w:t>
      </w:r>
      <w:proofErr w:type="spellEnd"/>
      <w:r w:rsidRPr="0028278A">
        <w:rPr>
          <w:rFonts w:ascii="Verdana" w:hAnsi="Verdana"/>
          <w:sz w:val="20"/>
          <w:szCs w:val="20"/>
        </w:rPr>
        <w:t xml:space="preserve"> has pointed out that his office does not collect taxes and has no arresting authority.</w:t>
      </w:r>
    </w:p>
    <w:p w:rsidR="00E663C6" w:rsidRPr="00E663C6" w:rsidRDefault="00E663C6" w:rsidP="00E663C6">
      <w:pPr>
        <w:pStyle w:val="NoSpacing"/>
        <w:rPr>
          <w:rFonts w:ascii="Verdana" w:hAnsi="Verdana"/>
          <w:b/>
          <w:caps/>
          <w:sz w:val="22"/>
          <w:u w:val="thick"/>
        </w:rPr>
      </w:pPr>
      <w:r w:rsidRPr="00E663C6">
        <w:rPr>
          <w:rFonts w:ascii="Verdana" w:hAnsi="Verdana"/>
          <w:b/>
          <w:caps/>
          <w:sz w:val="22"/>
          <w:u w:val="thick"/>
        </w:rPr>
        <w:t>Councilwoman: Not enough votes to pass proposed tax increase in Pittsburgh</w:t>
      </w:r>
    </w:p>
    <w:p w:rsidR="00E663C6" w:rsidRPr="00E663C6" w:rsidRDefault="00E663C6" w:rsidP="00E663C6">
      <w:pPr>
        <w:pStyle w:val="NoSpacing"/>
        <w:rPr>
          <w:rFonts w:ascii="Verdana" w:hAnsi="Verdana" w:cs="Arial"/>
          <w:sz w:val="14"/>
          <w:szCs w:val="18"/>
        </w:rPr>
      </w:pPr>
      <w:r w:rsidRPr="00E663C6">
        <w:rPr>
          <w:rStyle w:val="apple-converted-space"/>
          <w:rFonts w:ascii="Verdana" w:hAnsi="Verdana" w:cs="Arial"/>
          <w:color w:val="222222"/>
          <w:sz w:val="14"/>
          <w:szCs w:val="18"/>
        </w:rPr>
        <w:t> </w:t>
      </w:r>
      <w:r w:rsidRPr="00E663C6">
        <w:rPr>
          <w:rFonts w:ascii="Verdana" w:hAnsi="Verdana" w:cs="Arial"/>
          <w:sz w:val="20"/>
        </w:rPr>
        <w:t xml:space="preserve">A proposed increase in Pittsburgh’s realty transfer tax doesn’t have the five votes necessary to win approval on City Council, Councilwoman Theresa </w:t>
      </w:r>
      <w:proofErr w:type="spellStart"/>
      <w:r w:rsidRPr="00E663C6">
        <w:rPr>
          <w:rFonts w:ascii="Verdana" w:hAnsi="Verdana" w:cs="Arial"/>
          <w:sz w:val="20"/>
        </w:rPr>
        <w:t>Kail</w:t>
      </w:r>
      <w:proofErr w:type="spellEnd"/>
      <w:r w:rsidRPr="00E663C6">
        <w:rPr>
          <w:rFonts w:ascii="Verdana" w:hAnsi="Verdana" w:cs="Arial"/>
          <w:sz w:val="20"/>
        </w:rPr>
        <w:t>-Smith warned Tuesday.</w:t>
      </w:r>
      <w:r>
        <w:rPr>
          <w:rFonts w:ascii="Verdana" w:hAnsi="Verdana" w:cs="Arial"/>
          <w:sz w:val="14"/>
          <w:szCs w:val="18"/>
        </w:rPr>
        <w:t xml:space="preserve"> </w:t>
      </w:r>
      <w:r w:rsidRPr="00E663C6">
        <w:rPr>
          <w:rFonts w:ascii="Verdana" w:hAnsi="Verdana" w:cs="Arial"/>
          <w:sz w:val="20"/>
        </w:rPr>
        <w:t>Extra revenue from the increase -— an estimated $10 million a year — would finance the affordable housing trust fund that</w:t>
      </w:r>
      <w:r w:rsidRPr="00E663C6">
        <w:rPr>
          <w:rStyle w:val="apple-converted-space"/>
          <w:rFonts w:ascii="Verdana" w:hAnsi="Verdana" w:cs="Arial"/>
          <w:color w:val="222222"/>
          <w:sz w:val="20"/>
        </w:rPr>
        <w:t> </w:t>
      </w:r>
      <w:r w:rsidRPr="00E663C6">
        <w:rPr>
          <w:rFonts w:ascii="Verdana" w:hAnsi="Verdana" w:cs="Arial"/>
          <w:sz w:val="20"/>
        </w:rPr>
        <w:t>council approved in December. Councilmen Ricky Burgess and R. Daniel Lavelle have</w:t>
      </w:r>
      <w:r w:rsidRPr="00E663C6">
        <w:rPr>
          <w:rStyle w:val="apple-converted-space"/>
          <w:rFonts w:ascii="Verdana" w:hAnsi="Verdana" w:cs="Arial"/>
          <w:color w:val="222222"/>
          <w:sz w:val="20"/>
        </w:rPr>
        <w:t> </w:t>
      </w:r>
      <w:r w:rsidRPr="00E663C6">
        <w:rPr>
          <w:rFonts w:ascii="Verdana" w:hAnsi="Verdana" w:cs="Arial"/>
          <w:sz w:val="20"/>
        </w:rPr>
        <w:t>proposed raising the levy</w:t>
      </w:r>
      <w:r w:rsidRPr="00E663C6">
        <w:rPr>
          <w:rStyle w:val="apple-converted-space"/>
          <w:rFonts w:ascii="Verdana" w:hAnsi="Verdana" w:cs="Arial"/>
          <w:color w:val="222222"/>
          <w:sz w:val="20"/>
        </w:rPr>
        <w:t> </w:t>
      </w:r>
      <w:r w:rsidRPr="00E663C6">
        <w:rPr>
          <w:rFonts w:ascii="Verdana" w:hAnsi="Verdana" w:cs="Arial"/>
          <w:sz w:val="20"/>
        </w:rPr>
        <w:t>in the city to 5 percent from 4 percent to address an estimated shortage of more than 17,000 homes for low- and moderate-income families.</w:t>
      </w:r>
      <w:r>
        <w:rPr>
          <w:rFonts w:ascii="Verdana" w:hAnsi="Verdana" w:cs="Arial"/>
          <w:sz w:val="14"/>
          <w:szCs w:val="18"/>
        </w:rPr>
        <w:t xml:space="preserve"> </w:t>
      </w:r>
      <w:r w:rsidRPr="00E663C6">
        <w:rPr>
          <w:rFonts w:ascii="Verdana" w:hAnsi="Verdana" w:cs="Arial"/>
          <w:sz w:val="20"/>
        </w:rPr>
        <w:t>Revenue from the higher realty transfer tax would enable the bond issuance, city officials have said. Rev. Burgess laid out a four-point plan aiming to leverage the $100 million debt into $1 billion in overall investment, including private investment in depressed neighborhoods, over 10 years.</w:t>
      </w:r>
    </w:p>
    <w:p w:rsidR="0028278A" w:rsidRPr="0028278A" w:rsidRDefault="0028278A" w:rsidP="0028278A">
      <w:pPr>
        <w:pStyle w:val="NoSpacing"/>
        <w:rPr>
          <w:rFonts w:ascii="Verdana" w:hAnsi="Verdana"/>
          <w:b/>
          <w:caps/>
          <w:sz w:val="22"/>
          <w:szCs w:val="20"/>
          <w:u w:val="thick"/>
        </w:rPr>
      </w:pPr>
      <w:bookmarkStart w:id="3" w:name="_Hlk488054597"/>
      <w:r w:rsidRPr="0028278A">
        <w:rPr>
          <w:rFonts w:ascii="Verdana" w:hAnsi="Verdana"/>
          <w:b/>
          <w:caps/>
          <w:sz w:val="22"/>
          <w:szCs w:val="20"/>
          <w:u w:val="thick"/>
        </w:rPr>
        <w:t>PA Turnpike Commission </w:t>
      </w:r>
      <w:bookmarkEnd w:id="3"/>
      <w:r w:rsidRPr="0028278A">
        <w:rPr>
          <w:rFonts w:ascii="Verdana" w:hAnsi="Verdana"/>
          <w:b/>
          <w:caps/>
          <w:sz w:val="22"/>
          <w:szCs w:val="20"/>
          <w:u w:val="thick"/>
        </w:rPr>
        <w:t>Approves Six Percent Toll Increase for 2018</w:t>
      </w:r>
    </w:p>
    <w:p w:rsidR="0028278A" w:rsidRPr="0028278A" w:rsidRDefault="0028278A" w:rsidP="0028278A">
      <w:pPr>
        <w:pStyle w:val="NoSpacing"/>
        <w:rPr>
          <w:rFonts w:ascii="Verdana" w:hAnsi="Verdana"/>
          <w:color w:val="000000"/>
          <w:sz w:val="20"/>
          <w:szCs w:val="20"/>
        </w:rPr>
      </w:pPr>
      <w:r w:rsidRPr="0028278A">
        <w:rPr>
          <w:rFonts w:ascii="Verdana" w:hAnsi="Verdana"/>
          <w:color w:val="000000"/>
          <w:sz w:val="20"/>
          <w:szCs w:val="20"/>
        </w:rPr>
        <w:t>At its bimonthly meeting, the Pennsylvania Turnpike Commission (PTC) approved a six percent toll increase for both E-</w:t>
      </w:r>
      <w:proofErr w:type="spellStart"/>
      <w:r w:rsidRPr="0028278A">
        <w:rPr>
          <w:rFonts w:ascii="Verdana" w:hAnsi="Verdana"/>
          <w:color w:val="000000"/>
          <w:sz w:val="20"/>
          <w:szCs w:val="20"/>
        </w:rPr>
        <w:t>ZPass</w:t>
      </w:r>
      <w:proofErr w:type="spellEnd"/>
      <w:r w:rsidRPr="0028278A">
        <w:rPr>
          <w:rFonts w:ascii="Verdana" w:hAnsi="Verdana"/>
          <w:color w:val="000000"/>
          <w:sz w:val="20"/>
          <w:szCs w:val="20"/>
        </w:rPr>
        <w:t> and cash customers; the increase is set to take effect at 12:01 a.m. on Jan. 7, 2018.</w:t>
      </w:r>
      <w:bookmarkStart w:id="4" w:name="_Hlk488046607"/>
      <w:r w:rsidRPr="0028278A">
        <w:rPr>
          <w:rFonts w:ascii="Verdana" w:hAnsi="Verdana"/>
          <w:color w:val="000000"/>
          <w:sz w:val="20"/>
          <w:szCs w:val="20"/>
        </w:rPr>
        <w:t xml:space="preserve"> Because of Tuesday’s action, the most common toll for a passenger vehicle will increase next year from $1.23 to $1.30 for E-</w:t>
      </w:r>
      <w:bookmarkEnd w:id="4"/>
      <w:proofErr w:type="spellStart"/>
      <w:r w:rsidRPr="0028278A">
        <w:rPr>
          <w:rFonts w:ascii="Verdana" w:hAnsi="Verdana"/>
          <w:color w:val="000000"/>
          <w:sz w:val="20"/>
          <w:szCs w:val="20"/>
        </w:rPr>
        <w:t>ZPass</w:t>
      </w:r>
      <w:proofErr w:type="spellEnd"/>
      <w:r w:rsidRPr="0028278A">
        <w:rPr>
          <w:rFonts w:ascii="Verdana" w:hAnsi="Verdana"/>
          <w:color w:val="000000"/>
          <w:sz w:val="20"/>
          <w:szCs w:val="20"/>
        </w:rPr>
        <w:t> customers and from $1.95 to $2.10 for cash customers. The most common toll for a Class-5 vehicle — a prevalent tractor-trailer class — will increase from $10.17 to 10.78 for E-</w:t>
      </w:r>
      <w:proofErr w:type="spellStart"/>
      <w:r w:rsidRPr="0028278A">
        <w:rPr>
          <w:rFonts w:ascii="Verdana" w:hAnsi="Verdana"/>
          <w:color w:val="000000"/>
          <w:sz w:val="20"/>
          <w:szCs w:val="20"/>
        </w:rPr>
        <w:t>ZPass</w:t>
      </w:r>
      <w:proofErr w:type="spellEnd"/>
      <w:r w:rsidRPr="0028278A">
        <w:rPr>
          <w:rFonts w:ascii="Verdana" w:hAnsi="Verdana"/>
          <w:color w:val="000000"/>
          <w:sz w:val="20"/>
          <w:szCs w:val="20"/>
        </w:rPr>
        <w:t> and from $14.45 to $15.35 for cash.</w:t>
      </w:r>
    </w:p>
    <w:p w:rsidR="00272F09" w:rsidRPr="00272F09" w:rsidRDefault="00272F09" w:rsidP="00272F09">
      <w:pPr>
        <w:pStyle w:val="NoSpacing"/>
        <w:rPr>
          <w:rFonts w:ascii="Verdana" w:hAnsi="Verdana"/>
          <w:b/>
          <w:caps/>
          <w:sz w:val="22"/>
          <w:u w:val="thick"/>
        </w:rPr>
      </w:pPr>
      <w:r w:rsidRPr="00272F09">
        <w:rPr>
          <w:rFonts w:ascii="Verdana" w:hAnsi="Verdana"/>
          <w:b/>
          <w:caps/>
          <w:sz w:val="22"/>
          <w:szCs w:val="28"/>
          <w:u w:val="thick"/>
        </w:rPr>
        <w:t>PASSHE Chancellor Brogan to leave post</w:t>
      </w:r>
    </w:p>
    <w:p w:rsidR="00272F09" w:rsidRDefault="00272F09" w:rsidP="00272F09">
      <w:pPr>
        <w:pStyle w:val="NoSpacing"/>
        <w:rPr>
          <w:rFonts w:ascii="Verdana" w:hAnsi="Verdana"/>
          <w:sz w:val="20"/>
          <w:szCs w:val="17"/>
        </w:rPr>
      </w:pPr>
      <w:r w:rsidRPr="00272F09">
        <w:rPr>
          <w:rFonts w:ascii="Verdana" w:hAnsi="Verdana"/>
          <w:sz w:val="20"/>
          <w:szCs w:val="17"/>
        </w:rPr>
        <w:t>Frank Brogan, chancellor of the Pennsylvania State System of Higher Education, announced on Monday he will soon leave his post.</w:t>
      </w:r>
      <w:r w:rsidRPr="00272F09">
        <w:rPr>
          <w:rFonts w:ascii="Verdana" w:hAnsi="Verdana"/>
          <w:sz w:val="20"/>
        </w:rPr>
        <w:t xml:space="preserve"> </w:t>
      </w:r>
      <w:r w:rsidRPr="00272F09">
        <w:rPr>
          <w:rFonts w:ascii="Verdana" w:hAnsi="Verdana"/>
          <w:sz w:val="20"/>
          <w:szCs w:val="17"/>
        </w:rPr>
        <w:t>Brogan, who’s served as chancellor since 2013, plans to retire effective Sept. 1, according to a PASSHE press release.</w:t>
      </w:r>
      <w:r w:rsidRPr="00272F09">
        <w:rPr>
          <w:rFonts w:ascii="Verdana" w:hAnsi="Verdana"/>
          <w:sz w:val="20"/>
        </w:rPr>
        <w:t xml:space="preserve"> </w:t>
      </w:r>
      <w:r w:rsidRPr="00272F09">
        <w:rPr>
          <w:rFonts w:ascii="Verdana" w:hAnsi="Verdana"/>
          <w:sz w:val="20"/>
          <w:szCs w:val="17"/>
        </w:rPr>
        <w:t>The notice of his impending departure comes just days after a consulting firm tasked with reviewing the financially-strapped system issued a report of its work to PASSHE’s Board of Governors.</w:t>
      </w:r>
      <w:r w:rsidRPr="00272F09">
        <w:rPr>
          <w:rFonts w:ascii="Verdana" w:hAnsi="Verdana"/>
          <w:sz w:val="20"/>
        </w:rPr>
        <w:t xml:space="preserve"> </w:t>
      </w:r>
      <w:r w:rsidRPr="00272F09">
        <w:rPr>
          <w:rFonts w:ascii="Verdana" w:hAnsi="Verdana"/>
          <w:sz w:val="20"/>
          <w:szCs w:val="17"/>
        </w:rPr>
        <w:t>The report, presented by Dennis Jones of the National Center for Higher Education Management Systems, suggested that a shakeup in PASSHE leadership is needed.</w:t>
      </w:r>
      <w:r w:rsidRPr="00272F09">
        <w:rPr>
          <w:rFonts w:ascii="Verdana" w:hAnsi="Verdana"/>
          <w:sz w:val="20"/>
        </w:rPr>
        <w:t xml:space="preserve"> </w:t>
      </w:r>
      <w:r w:rsidRPr="00272F09">
        <w:rPr>
          <w:rFonts w:ascii="Verdana" w:hAnsi="Verdana"/>
          <w:sz w:val="20"/>
          <w:szCs w:val="17"/>
        </w:rPr>
        <w:t>It recommends that PASSHE create a new governance structure, clarify the authority given to members of the system and “reorient” the system’s board and the Office of the Chancellor.</w:t>
      </w:r>
      <w:r w:rsidRPr="00272F09">
        <w:rPr>
          <w:rFonts w:ascii="Verdana" w:hAnsi="Verdana"/>
          <w:sz w:val="20"/>
        </w:rPr>
        <w:t xml:space="preserve"> </w:t>
      </w:r>
      <w:r w:rsidRPr="00272F09">
        <w:rPr>
          <w:rFonts w:ascii="Verdana" w:hAnsi="Verdana"/>
          <w:sz w:val="20"/>
          <w:szCs w:val="17"/>
        </w:rPr>
        <w:t>Brogan notified the board of his retirement prior to the report’s release last Wednesday.</w:t>
      </w:r>
      <w:r w:rsidRPr="00272F09">
        <w:rPr>
          <w:rFonts w:ascii="Verdana" w:hAnsi="Verdana"/>
          <w:sz w:val="20"/>
        </w:rPr>
        <w:t xml:space="preserve"> </w:t>
      </w:r>
      <w:r w:rsidRPr="00272F09">
        <w:rPr>
          <w:rFonts w:ascii="Verdana" w:hAnsi="Verdana"/>
          <w:sz w:val="20"/>
          <w:szCs w:val="17"/>
        </w:rPr>
        <w:t>The board will name an interim leader while conducting a national search for his replacement.</w:t>
      </w:r>
    </w:p>
    <w:p w:rsidR="00B7758B" w:rsidRPr="0028278A" w:rsidRDefault="0028278A" w:rsidP="0028278A">
      <w:pPr>
        <w:pStyle w:val="NoSpacing"/>
        <w:rPr>
          <w:rFonts w:ascii="Verdana" w:hAnsi="Verdana"/>
          <w:color w:val="000000"/>
          <w:sz w:val="20"/>
          <w:szCs w:val="20"/>
        </w:rPr>
      </w:pPr>
      <w:r w:rsidRPr="0028278A">
        <w:rPr>
          <w:rFonts w:ascii="Verdana" w:hAnsi="Verdana"/>
          <w:color w:val="000000"/>
          <w:sz w:val="20"/>
          <w:szCs w:val="20"/>
        </w:rPr>
        <w:t> </w:t>
      </w:r>
      <w:r w:rsidR="00635217" w:rsidRPr="003531CA">
        <w:rPr>
          <w:rFonts w:ascii="Verdana" w:eastAsia="Verdana" w:hAnsi="Verdana" w:cs="Verdana"/>
          <w:b/>
          <w:bCs/>
          <w:spacing w:val="1"/>
          <w:position w:val="-1"/>
          <w:u w:val="thick" w:color="000000"/>
        </w:rPr>
        <w:t>P</w:t>
      </w:r>
      <w:r w:rsidR="00635217" w:rsidRPr="003531CA">
        <w:rPr>
          <w:rFonts w:ascii="Verdana" w:eastAsia="Verdana" w:hAnsi="Verdana" w:cs="Verdana"/>
          <w:b/>
          <w:bCs/>
          <w:spacing w:val="-2"/>
          <w:position w:val="-1"/>
          <w:u w:val="thick" w:color="000000"/>
        </w:rPr>
        <w:t>E</w:t>
      </w:r>
      <w:r w:rsidR="00635217" w:rsidRPr="003531CA">
        <w:rPr>
          <w:rFonts w:ascii="Verdana" w:eastAsia="Verdana" w:hAnsi="Verdana" w:cs="Verdana"/>
          <w:b/>
          <w:bCs/>
          <w:position w:val="-1"/>
          <w:u w:val="thick" w:color="000000"/>
        </w:rPr>
        <w:t>NN</w:t>
      </w:r>
      <w:r w:rsidR="00635217" w:rsidRPr="003531CA">
        <w:rPr>
          <w:rFonts w:ascii="Verdana" w:eastAsia="Verdana" w:hAnsi="Verdana" w:cs="Verdana"/>
          <w:b/>
          <w:bCs/>
          <w:spacing w:val="2"/>
          <w:position w:val="-1"/>
          <w:u w:val="thick" w:color="000000"/>
        </w:rPr>
        <w:t>S</w:t>
      </w:r>
      <w:r w:rsidR="00635217" w:rsidRPr="003531CA">
        <w:rPr>
          <w:rFonts w:ascii="Verdana" w:eastAsia="Verdana" w:hAnsi="Verdana" w:cs="Verdana"/>
          <w:b/>
          <w:bCs/>
          <w:position w:val="-1"/>
          <w:u w:val="thick" w:color="000000"/>
        </w:rPr>
        <w:t>Y</w:t>
      </w:r>
      <w:r w:rsidR="00635217" w:rsidRPr="003531CA">
        <w:rPr>
          <w:rFonts w:ascii="Verdana" w:eastAsia="Verdana" w:hAnsi="Verdana" w:cs="Verdana"/>
          <w:b/>
          <w:bCs/>
          <w:spacing w:val="-1"/>
          <w:position w:val="-1"/>
          <w:u w:val="thick" w:color="000000"/>
        </w:rPr>
        <w:t>LV</w:t>
      </w:r>
      <w:r w:rsidR="00635217" w:rsidRPr="003531CA">
        <w:rPr>
          <w:rFonts w:ascii="Verdana" w:eastAsia="Verdana" w:hAnsi="Verdana" w:cs="Verdana"/>
          <w:b/>
          <w:bCs/>
          <w:spacing w:val="-3"/>
          <w:position w:val="-1"/>
          <w:u w:val="thick" w:color="000000"/>
        </w:rPr>
        <w:t>A</w:t>
      </w:r>
      <w:r w:rsidR="00635217" w:rsidRPr="003531CA">
        <w:rPr>
          <w:rFonts w:ascii="Verdana" w:eastAsia="Verdana" w:hAnsi="Verdana" w:cs="Verdana"/>
          <w:b/>
          <w:bCs/>
          <w:position w:val="-1"/>
          <w:u w:val="thick" w:color="000000"/>
        </w:rPr>
        <w:t>NIA</w:t>
      </w:r>
      <w:r w:rsidR="00635217" w:rsidRPr="003531CA">
        <w:rPr>
          <w:rFonts w:ascii="Verdana" w:eastAsia="Verdana" w:hAnsi="Verdana" w:cs="Verdana"/>
          <w:b/>
          <w:bCs/>
          <w:spacing w:val="2"/>
          <w:position w:val="-1"/>
          <w:u w:val="thick" w:color="000000"/>
        </w:rPr>
        <w:t xml:space="preserve"> </w:t>
      </w:r>
      <w:r w:rsidR="00635217" w:rsidRPr="003531CA">
        <w:rPr>
          <w:rFonts w:ascii="Verdana" w:eastAsia="Verdana" w:hAnsi="Verdana" w:cs="Verdana"/>
          <w:b/>
          <w:bCs/>
          <w:spacing w:val="-2"/>
          <w:position w:val="-1"/>
          <w:u w:val="thick" w:color="000000"/>
        </w:rPr>
        <w:t>GE</w:t>
      </w:r>
      <w:r w:rsidR="00635217" w:rsidRPr="003531CA">
        <w:rPr>
          <w:rFonts w:ascii="Verdana" w:eastAsia="Verdana" w:hAnsi="Verdana" w:cs="Verdana"/>
          <w:b/>
          <w:bCs/>
          <w:position w:val="-1"/>
          <w:u w:val="thick" w:color="000000"/>
        </w:rPr>
        <w:t>N</w:t>
      </w:r>
      <w:r w:rsidR="00635217" w:rsidRPr="003531CA">
        <w:rPr>
          <w:rFonts w:ascii="Verdana" w:eastAsia="Verdana" w:hAnsi="Verdana" w:cs="Verdana"/>
          <w:b/>
          <w:bCs/>
          <w:spacing w:val="-2"/>
          <w:position w:val="-1"/>
          <w:u w:val="thick" w:color="000000"/>
        </w:rPr>
        <w:t>E</w:t>
      </w:r>
      <w:r w:rsidR="00635217" w:rsidRPr="003531CA">
        <w:rPr>
          <w:rFonts w:ascii="Verdana" w:eastAsia="Verdana" w:hAnsi="Verdana" w:cs="Verdana"/>
          <w:b/>
          <w:bCs/>
          <w:position w:val="-1"/>
          <w:u w:val="thick" w:color="000000"/>
        </w:rPr>
        <w:t>R</w:t>
      </w:r>
      <w:r w:rsidR="00635217" w:rsidRPr="003531CA">
        <w:rPr>
          <w:rFonts w:ascii="Verdana" w:eastAsia="Verdana" w:hAnsi="Verdana" w:cs="Verdana"/>
          <w:b/>
          <w:bCs/>
          <w:spacing w:val="1"/>
          <w:position w:val="-1"/>
          <w:u w:val="thick" w:color="000000"/>
        </w:rPr>
        <w:t>A</w:t>
      </w:r>
      <w:r w:rsidR="00635217" w:rsidRPr="003531CA">
        <w:rPr>
          <w:rFonts w:ascii="Verdana" w:eastAsia="Verdana" w:hAnsi="Verdana" w:cs="Verdana"/>
          <w:b/>
          <w:bCs/>
          <w:position w:val="-1"/>
          <w:u w:val="thick" w:color="000000"/>
        </w:rPr>
        <w:t>L</w:t>
      </w:r>
      <w:r w:rsidR="00635217" w:rsidRPr="003531CA">
        <w:rPr>
          <w:rFonts w:ascii="Verdana" w:eastAsia="Verdana" w:hAnsi="Verdana" w:cs="Verdana"/>
          <w:b/>
          <w:bCs/>
          <w:spacing w:val="-5"/>
          <w:position w:val="-1"/>
          <w:u w:val="thick" w:color="000000"/>
        </w:rPr>
        <w:t xml:space="preserve"> </w:t>
      </w:r>
      <w:r w:rsidR="00635217" w:rsidRPr="003531CA">
        <w:rPr>
          <w:rFonts w:ascii="Verdana" w:eastAsia="Verdana" w:hAnsi="Verdana" w:cs="Verdana"/>
          <w:b/>
          <w:bCs/>
          <w:spacing w:val="1"/>
          <w:position w:val="-1"/>
          <w:u w:val="thick" w:color="000000"/>
        </w:rPr>
        <w:t>A</w:t>
      </w:r>
      <w:r w:rsidR="00635217" w:rsidRPr="003531CA">
        <w:rPr>
          <w:rFonts w:ascii="Verdana" w:eastAsia="Verdana" w:hAnsi="Verdana" w:cs="Verdana"/>
          <w:b/>
          <w:bCs/>
          <w:spacing w:val="-3"/>
          <w:position w:val="-1"/>
          <w:u w:val="thick" w:color="000000"/>
        </w:rPr>
        <w:t>S</w:t>
      </w:r>
      <w:r w:rsidR="00635217" w:rsidRPr="003531CA">
        <w:rPr>
          <w:rFonts w:ascii="Verdana" w:eastAsia="Verdana" w:hAnsi="Verdana" w:cs="Verdana"/>
          <w:b/>
          <w:bCs/>
          <w:spacing w:val="1"/>
          <w:position w:val="-1"/>
          <w:u w:val="thick" w:color="000000"/>
        </w:rPr>
        <w:t>S</w:t>
      </w:r>
      <w:r w:rsidR="00635217" w:rsidRPr="003531CA">
        <w:rPr>
          <w:rFonts w:ascii="Verdana" w:eastAsia="Verdana" w:hAnsi="Verdana" w:cs="Verdana"/>
          <w:b/>
          <w:bCs/>
          <w:spacing w:val="-2"/>
          <w:position w:val="-1"/>
          <w:u w:val="thick" w:color="000000"/>
        </w:rPr>
        <w:t>E</w:t>
      </w:r>
      <w:r w:rsidR="00635217" w:rsidRPr="003531CA">
        <w:rPr>
          <w:rFonts w:ascii="Verdana" w:eastAsia="Verdana" w:hAnsi="Verdana" w:cs="Verdana"/>
          <w:b/>
          <w:bCs/>
          <w:spacing w:val="2"/>
          <w:position w:val="-1"/>
          <w:u w:val="thick" w:color="000000"/>
        </w:rPr>
        <w:t>M</w:t>
      </w:r>
      <w:r w:rsidR="00635217" w:rsidRPr="003531CA">
        <w:rPr>
          <w:rFonts w:ascii="Verdana" w:eastAsia="Verdana" w:hAnsi="Verdana" w:cs="Verdana"/>
          <w:b/>
          <w:bCs/>
          <w:position w:val="-1"/>
          <w:u w:val="thick" w:color="000000"/>
        </w:rPr>
        <w:t>B</w:t>
      </w:r>
      <w:r w:rsidR="00635217" w:rsidRPr="003531CA">
        <w:rPr>
          <w:rFonts w:ascii="Verdana" w:eastAsia="Verdana" w:hAnsi="Verdana" w:cs="Verdana"/>
          <w:b/>
          <w:bCs/>
          <w:spacing w:val="-2"/>
          <w:position w:val="-1"/>
          <w:u w:val="thick" w:color="000000"/>
        </w:rPr>
        <w:t>L</w:t>
      </w:r>
      <w:r w:rsidR="00635217" w:rsidRPr="003531CA">
        <w:rPr>
          <w:rFonts w:ascii="Verdana" w:eastAsia="Verdana" w:hAnsi="Verdana" w:cs="Verdana"/>
          <w:b/>
          <w:bCs/>
          <w:position w:val="-1"/>
          <w:u w:val="thick" w:color="000000"/>
        </w:rPr>
        <w:t>Y</w:t>
      </w:r>
      <w:r w:rsidR="00635217" w:rsidRPr="003531CA">
        <w:rPr>
          <w:rFonts w:ascii="Verdana" w:eastAsia="Verdana" w:hAnsi="Verdana" w:cs="Verdana"/>
          <w:b/>
          <w:bCs/>
          <w:spacing w:val="-3"/>
          <w:position w:val="-1"/>
          <w:u w:val="thick" w:color="000000"/>
        </w:rPr>
        <w:t xml:space="preserve"> S</w:t>
      </w:r>
      <w:r w:rsidR="00635217" w:rsidRPr="003531CA">
        <w:rPr>
          <w:rFonts w:ascii="Verdana" w:eastAsia="Verdana" w:hAnsi="Verdana" w:cs="Verdana"/>
          <w:b/>
          <w:bCs/>
          <w:spacing w:val="-2"/>
          <w:position w:val="-1"/>
          <w:u w:val="thick" w:color="000000"/>
        </w:rPr>
        <w:t>E</w:t>
      </w:r>
      <w:r w:rsidR="00635217" w:rsidRPr="003531CA">
        <w:rPr>
          <w:rFonts w:ascii="Verdana" w:eastAsia="Verdana" w:hAnsi="Verdana" w:cs="Verdana"/>
          <w:b/>
          <w:bCs/>
          <w:spacing w:val="1"/>
          <w:position w:val="-1"/>
          <w:u w:val="thick" w:color="000000"/>
        </w:rPr>
        <w:t>SS</w:t>
      </w:r>
      <w:r w:rsidR="00635217" w:rsidRPr="003531CA">
        <w:rPr>
          <w:rFonts w:ascii="Verdana" w:eastAsia="Verdana" w:hAnsi="Verdana" w:cs="Verdana"/>
          <w:b/>
          <w:bCs/>
          <w:position w:val="-1"/>
          <w:u w:val="thick" w:color="000000"/>
        </w:rPr>
        <w:t>I</w:t>
      </w:r>
      <w:r w:rsidR="00635217" w:rsidRPr="003531CA">
        <w:rPr>
          <w:rFonts w:ascii="Verdana" w:eastAsia="Verdana" w:hAnsi="Verdana" w:cs="Verdana"/>
          <w:b/>
          <w:bCs/>
          <w:spacing w:val="-1"/>
          <w:position w:val="-1"/>
          <w:u w:val="thick" w:color="000000"/>
        </w:rPr>
        <w:t>O</w:t>
      </w:r>
      <w:r w:rsidR="00635217" w:rsidRPr="003531CA">
        <w:rPr>
          <w:rFonts w:ascii="Verdana" w:eastAsia="Verdana" w:hAnsi="Verdana" w:cs="Verdana"/>
          <w:b/>
          <w:bCs/>
          <w:position w:val="-1"/>
          <w:u w:val="thick" w:color="000000"/>
        </w:rPr>
        <w:t>N</w:t>
      </w:r>
      <w:r w:rsidR="00635217" w:rsidRPr="003531CA">
        <w:rPr>
          <w:rFonts w:ascii="Verdana" w:eastAsia="Verdana" w:hAnsi="Verdana" w:cs="Verdana"/>
          <w:b/>
          <w:bCs/>
          <w:spacing w:val="-3"/>
          <w:position w:val="-1"/>
          <w:u w:val="thick" w:color="000000"/>
        </w:rPr>
        <w:t xml:space="preserve"> </w:t>
      </w:r>
      <w:r w:rsidR="00635217" w:rsidRPr="003531CA">
        <w:rPr>
          <w:rFonts w:ascii="Verdana" w:eastAsia="Verdana" w:hAnsi="Verdana" w:cs="Verdana"/>
          <w:b/>
          <w:bCs/>
          <w:spacing w:val="1"/>
          <w:position w:val="-1"/>
          <w:u w:val="thick" w:color="000000"/>
        </w:rPr>
        <w:t>S</w:t>
      </w:r>
      <w:r w:rsidR="00635217" w:rsidRPr="003531CA">
        <w:rPr>
          <w:rFonts w:ascii="Verdana" w:eastAsia="Verdana" w:hAnsi="Verdana" w:cs="Verdana"/>
          <w:b/>
          <w:bCs/>
          <w:spacing w:val="-2"/>
          <w:position w:val="-1"/>
          <w:u w:val="thick" w:color="000000"/>
        </w:rPr>
        <w:t>C</w:t>
      </w:r>
      <w:r w:rsidR="00635217" w:rsidRPr="003531CA">
        <w:rPr>
          <w:rFonts w:ascii="Verdana" w:eastAsia="Verdana" w:hAnsi="Verdana" w:cs="Verdana"/>
          <w:b/>
          <w:bCs/>
          <w:spacing w:val="2"/>
          <w:position w:val="-1"/>
          <w:u w:val="thick" w:color="000000"/>
        </w:rPr>
        <w:t>H</w:t>
      </w:r>
      <w:r w:rsidR="00635217" w:rsidRPr="003531CA">
        <w:rPr>
          <w:rFonts w:ascii="Verdana" w:eastAsia="Verdana" w:hAnsi="Verdana" w:cs="Verdana"/>
          <w:b/>
          <w:bCs/>
          <w:spacing w:val="-2"/>
          <w:position w:val="-1"/>
          <w:u w:val="thick" w:color="000000"/>
        </w:rPr>
        <w:t>E</w:t>
      </w:r>
      <w:r w:rsidR="00635217" w:rsidRPr="003531CA">
        <w:rPr>
          <w:rFonts w:ascii="Verdana" w:eastAsia="Verdana" w:hAnsi="Verdana" w:cs="Verdana"/>
          <w:b/>
          <w:bCs/>
          <w:spacing w:val="-1"/>
          <w:position w:val="-1"/>
          <w:u w:val="thick" w:color="000000"/>
        </w:rPr>
        <w:t>D</w:t>
      </w:r>
      <w:r w:rsidR="00635217" w:rsidRPr="003531CA">
        <w:rPr>
          <w:rFonts w:ascii="Verdana" w:eastAsia="Verdana" w:hAnsi="Verdana" w:cs="Verdana"/>
          <w:b/>
          <w:bCs/>
          <w:spacing w:val="-2"/>
          <w:position w:val="-1"/>
          <w:u w:val="thick" w:color="000000"/>
        </w:rPr>
        <w:t>UL</w:t>
      </w:r>
      <w:r w:rsidR="00635217" w:rsidRPr="003531CA">
        <w:rPr>
          <w:rFonts w:ascii="Verdana" w:eastAsia="Verdana" w:hAnsi="Verdana" w:cs="Verdana"/>
          <w:b/>
          <w:bCs/>
          <w:spacing w:val="4"/>
          <w:position w:val="-1"/>
          <w:u w:val="thick" w:color="000000"/>
        </w:rPr>
        <w:t>E</w:t>
      </w:r>
      <w:r w:rsidR="00635217" w:rsidRPr="003531CA">
        <w:rPr>
          <w:rFonts w:ascii="Verdana" w:eastAsia="Verdana" w:hAnsi="Verdana" w:cs="Verdana"/>
          <w:b/>
          <w:bCs/>
          <w:position w:val="-1"/>
        </w:rPr>
        <w:t>:</w:t>
      </w:r>
    </w:p>
    <w:p w:rsidR="00022121" w:rsidRDefault="00022121" w:rsidP="00D34264">
      <w:pPr>
        <w:pStyle w:val="NoSpacing"/>
        <w:spacing w:before="0" w:beforeAutospacing="0" w:after="0" w:afterAutospacing="0"/>
        <w:rPr>
          <w:rFonts w:ascii="Verdana" w:hAnsi="Verdana"/>
          <w:b/>
          <w:bCs/>
          <w:sz w:val="20"/>
          <w:szCs w:val="20"/>
        </w:rPr>
      </w:pPr>
    </w:p>
    <w:p w:rsidR="00D34264" w:rsidRPr="004D3169" w:rsidRDefault="00D34264" w:rsidP="00D34264">
      <w:pPr>
        <w:pStyle w:val="NoSpacing"/>
        <w:spacing w:before="0" w:beforeAutospacing="0" w:after="0" w:afterAutospacing="0"/>
        <w:rPr>
          <w:rFonts w:ascii="Verdana" w:hAnsi="Verdana"/>
          <w:b/>
          <w:sz w:val="20"/>
          <w:szCs w:val="20"/>
        </w:rPr>
      </w:pPr>
      <w:r w:rsidRPr="004D3169">
        <w:rPr>
          <w:rFonts w:ascii="Verdana" w:hAnsi="Verdana"/>
          <w:b/>
          <w:bCs/>
          <w:sz w:val="20"/>
          <w:szCs w:val="20"/>
        </w:rPr>
        <w:t>2017 SENATE SESSION SCHEDULE</w:t>
      </w:r>
    </w:p>
    <w:p w:rsidR="00D34264" w:rsidRPr="004D3169" w:rsidRDefault="00D34264" w:rsidP="00D34264">
      <w:pPr>
        <w:pStyle w:val="NoSpacing"/>
        <w:spacing w:before="0" w:beforeAutospacing="0" w:after="0" w:afterAutospacing="0"/>
        <w:rPr>
          <w:rFonts w:ascii="Verdana" w:hAnsi="Verdana"/>
          <w:sz w:val="20"/>
          <w:szCs w:val="20"/>
        </w:rPr>
      </w:pPr>
      <w:r w:rsidRPr="004D3169">
        <w:rPr>
          <w:rFonts w:ascii="Verdana" w:hAnsi="Verdana"/>
          <w:b/>
          <w:bCs/>
          <w:sz w:val="20"/>
          <w:szCs w:val="20"/>
        </w:rPr>
        <w:t>  </w:t>
      </w:r>
      <w:r w:rsidRPr="004D3169">
        <w:rPr>
          <w:rFonts w:ascii="Verdana" w:hAnsi="Verdana"/>
          <w:bCs/>
          <w:sz w:val="20"/>
          <w:szCs w:val="20"/>
        </w:rPr>
        <w:t> </w:t>
      </w:r>
    </w:p>
    <w:p w:rsidR="00645D1A" w:rsidRPr="003B58F1" w:rsidRDefault="003B58F1" w:rsidP="00645D1A">
      <w:pPr>
        <w:rPr>
          <w:rFonts w:ascii="Verdana" w:hAnsi="Verdana"/>
          <w:color w:val="000000"/>
          <w:sz w:val="20"/>
          <w:szCs w:val="20"/>
        </w:rPr>
      </w:pPr>
      <w:r w:rsidRPr="003B58F1">
        <w:rPr>
          <w:rFonts w:ascii="Verdana" w:hAnsi="Verdana"/>
          <w:bCs/>
          <w:color w:val="000000"/>
          <w:sz w:val="20"/>
          <w:szCs w:val="20"/>
        </w:rPr>
        <w:t>TBA</w:t>
      </w:r>
    </w:p>
    <w:p w:rsidR="00B7758B" w:rsidRPr="004D3169" w:rsidRDefault="004A61A3" w:rsidP="00B7758B">
      <w:pPr>
        <w:pStyle w:val="NoSpacing"/>
        <w:spacing w:before="0" w:beforeAutospacing="0" w:after="0" w:afterAutospacing="0"/>
        <w:rPr>
          <w:rFonts w:ascii="Verdana" w:hAnsi="Verdana"/>
          <w:b/>
          <w:sz w:val="18"/>
          <w:szCs w:val="22"/>
        </w:rPr>
      </w:pPr>
      <w:r w:rsidRPr="004D3169">
        <w:rPr>
          <w:rFonts w:ascii="Verdana" w:hAnsi="Verdana"/>
          <w:b/>
          <w:sz w:val="20"/>
        </w:rPr>
        <w:t>2017</w:t>
      </w:r>
      <w:r w:rsidR="00B7758B" w:rsidRPr="004D3169">
        <w:rPr>
          <w:rFonts w:ascii="Verdana" w:hAnsi="Verdana"/>
          <w:b/>
          <w:sz w:val="20"/>
        </w:rPr>
        <w:t xml:space="preserve"> HOUSE SESSION SCHEDULE</w:t>
      </w:r>
    </w:p>
    <w:p w:rsidR="00FA06A2" w:rsidRPr="003B58F1" w:rsidRDefault="00FA06A2" w:rsidP="00FA06A2">
      <w:pPr>
        <w:pStyle w:val="NoSpacing"/>
        <w:spacing w:before="0" w:beforeAutospacing="0" w:after="0" w:afterAutospacing="0"/>
        <w:rPr>
          <w:rFonts w:ascii="Verdana" w:hAnsi="Verdana"/>
          <w:sz w:val="18"/>
          <w:szCs w:val="22"/>
        </w:rPr>
      </w:pPr>
      <w:r w:rsidRPr="003B58F1">
        <w:rPr>
          <w:rFonts w:ascii="Verdana" w:hAnsi="Verdana"/>
          <w:bCs/>
          <w:sz w:val="20"/>
        </w:rPr>
        <w:t>   </w:t>
      </w:r>
    </w:p>
    <w:p w:rsidR="0028278A" w:rsidRPr="00C8563C" w:rsidRDefault="0028278A" w:rsidP="00C8563C">
      <w:pPr>
        <w:rPr>
          <w:rFonts w:ascii="Verdana" w:hAnsi="Verdana"/>
          <w:color w:val="000000"/>
          <w:sz w:val="20"/>
          <w:szCs w:val="20"/>
        </w:rPr>
      </w:pPr>
      <w:r>
        <w:rPr>
          <w:rFonts w:ascii="Verdana" w:hAnsi="Verdana"/>
          <w:bCs/>
          <w:color w:val="000000"/>
          <w:sz w:val="20"/>
          <w:szCs w:val="20"/>
        </w:rPr>
        <w:t xml:space="preserve">July </w:t>
      </w:r>
      <w:r>
        <w:rPr>
          <w:rFonts w:ascii="Verdana" w:hAnsi="Verdana"/>
          <w:bCs/>
          <w:color w:val="000000"/>
          <w:sz w:val="20"/>
          <w:szCs w:val="20"/>
        </w:rPr>
        <w:tab/>
      </w:r>
      <w:r>
        <w:rPr>
          <w:rFonts w:ascii="Verdana" w:hAnsi="Verdana"/>
          <w:bCs/>
          <w:color w:val="000000"/>
          <w:sz w:val="20"/>
          <w:szCs w:val="20"/>
        </w:rPr>
        <w:tab/>
        <w:t>22, 23</w:t>
      </w:r>
    </w:p>
    <w:p w:rsidR="003B58F1" w:rsidRDefault="00DA105A" w:rsidP="003769F8">
      <w:pPr>
        <w:spacing w:after="0" w:line="240" w:lineRule="auto"/>
        <w:rPr>
          <w:rFonts w:ascii="Verdana" w:eastAsia="Verdana" w:hAnsi="Verdana" w:cs="Verdana"/>
          <w:b/>
          <w:bCs/>
          <w:position w:val="-2"/>
          <w:u w:val="thick" w:color="000000"/>
        </w:rPr>
      </w:pPr>
      <w:r w:rsidRPr="004D3169">
        <w:rPr>
          <w:rFonts w:ascii="Verdana" w:eastAsia="Verdana" w:hAnsi="Verdana" w:cs="Verdana"/>
          <w:b/>
          <w:bCs/>
          <w:position w:val="-2"/>
          <w:u w:val="thick" w:color="000000"/>
        </w:rPr>
        <w:t>DEPARTMENT OF REVENUE UPDATE</w:t>
      </w:r>
    </w:p>
    <w:p w:rsidR="0028278A" w:rsidRPr="0028278A" w:rsidRDefault="0028278A" w:rsidP="0028278A">
      <w:pPr>
        <w:pStyle w:val="NoSpacing"/>
        <w:rPr>
          <w:rFonts w:ascii="Verdana" w:hAnsi="Verdana"/>
          <w:sz w:val="20"/>
          <w:szCs w:val="20"/>
        </w:rPr>
      </w:pPr>
      <w:r w:rsidRPr="0028278A">
        <w:rPr>
          <w:rStyle w:val="Strong"/>
          <w:rFonts w:ascii="Verdana" w:hAnsi="Verdana"/>
          <w:color w:val="000000"/>
          <w:sz w:val="20"/>
          <w:szCs w:val="20"/>
        </w:rPr>
        <w:t>PA Tax Amnesty Collections Exceed Estimate</w:t>
      </w:r>
    </w:p>
    <w:p w:rsidR="0028278A" w:rsidRPr="0028278A" w:rsidRDefault="0028278A" w:rsidP="0028278A">
      <w:pPr>
        <w:pStyle w:val="NoSpacing"/>
        <w:rPr>
          <w:rFonts w:ascii="Verdana" w:hAnsi="Verdana"/>
          <w:sz w:val="20"/>
          <w:szCs w:val="20"/>
        </w:rPr>
      </w:pPr>
      <w:r w:rsidRPr="0028278A">
        <w:rPr>
          <w:rFonts w:ascii="Verdana" w:hAnsi="Verdana"/>
          <w:sz w:val="20"/>
          <w:szCs w:val="20"/>
        </w:rPr>
        <w:t>The 2017 PA Tax Amnesty Program will provide $114.5 million for the 2016-17 fiscal year</w:t>
      </w:r>
      <w:r w:rsidRPr="0028278A">
        <w:rPr>
          <w:rStyle w:val="apple-converted-space"/>
          <w:rFonts w:ascii="Verdana" w:hAnsi="Verdana"/>
          <w:color w:val="000000"/>
          <w:sz w:val="20"/>
          <w:szCs w:val="20"/>
        </w:rPr>
        <w:t> </w:t>
      </w:r>
      <w:proofErr w:type="gramStart"/>
      <w:r w:rsidRPr="0028278A">
        <w:rPr>
          <w:rStyle w:val="grame"/>
          <w:rFonts w:ascii="Verdana" w:hAnsi="Verdana"/>
          <w:color w:val="000000"/>
          <w:sz w:val="20"/>
          <w:szCs w:val="20"/>
        </w:rPr>
        <w:t>budget</w:t>
      </w:r>
      <w:proofErr w:type="gramEnd"/>
      <w:r w:rsidRPr="0028278A">
        <w:rPr>
          <w:rFonts w:ascii="Verdana" w:hAnsi="Verdana"/>
          <w:sz w:val="20"/>
          <w:szCs w:val="20"/>
        </w:rPr>
        <w:t>, exceeding the $100 million net revenue estimate, the Pennsylvania Department of Revenue announced.</w:t>
      </w:r>
      <w:r>
        <w:rPr>
          <w:rFonts w:ascii="Verdana" w:hAnsi="Verdana"/>
          <w:sz w:val="20"/>
          <w:szCs w:val="20"/>
        </w:rPr>
        <w:t xml:space="preserve"> </w:t>
      </w:r>
      <w:r w:rsidRPr="0028278A">
        <w:rPr>
          <w:rFonts w:ascii="Verdana" w:hAnsi="Verdana"/>
          <w:sz w:val="20"/>
          <w:szCs w:val="20"/>
        </w:rPr>
        <w:t xml:space="preserve">“By running the tax amnesty program efficiently, the department will provide more revenue than expected for the general fund,” said Secretary of Revenue C. Daniel </w:t>
      </w:r>
      <w:proofErr w:type="spellStart"/>
      <w:r w:rsidRPr="0028278A">
        <w:rPr>
          <w:rFonts w:ascii="Verdana" w:hAnsi="Verdana"/>
          <w:sz w:val="20"/>
          <w:szCs w:val="20"/>
        </w:rPr>
        <w:t>Hassell</w:t>
      </w:r>
      <w:proofErr w:type="spellEnd"/>
      <w:r w:rsidRPr="0028278A">
        <w:rPr>
          <w:rFonts w:ascii="Verdana" w:hAnsi="Verdana"/>
          <w:sz w:val="20"/>
          <w:szCs w:val="20"/>
        </w:rPr>
        <w:t>. “The temporary program enabled tens of thousands of individuals and businesses to settle their state tax debt and make things right with the commonwealth.”</w:t>
      </w:r>
      <w:r>
        <w:rPr>
          <w:rFonts w:ascii="Verdana" w:hAnsi="Verdana"/>
          <w:sz w:val="20"/>
          <w:szCs w:val="20"/>
        </w:rPr>
        <w:t xml:space="preserve"> </w:t>
      </w:r>
      <w:r w:rsidRPr="0028278A">
        <w:rPr>
          <w:rFonts w:ascii="Verdana" w:hAnsi="Verdana"/>
          <w:sz w:val="20"/>
          <w:szCs w:val="20"/>
        </w:rPr>
        <w:t>Act 84 of 2016 authorized a tax amnesty that waived all penalties and half of the interest for eligible individuals or businesses that applied to the program and paid delinquent state taxes between April 21 and June 19, 2017.</w:t>
      </w:r>
      <w:r>
        <w:rPr>
          <w:rFonts w:ascii="Verdana" w:hAnsi="Verdana"/>
          <w:sz w:val="20"/>
          <w:szCs w:val="20"/>
        </w:rPr>
        <w:t xml:space="preserve"> </w:t>
      </w:r>
      <w:r w:rsidRPr="0028278A">
        <w:rPr>
          <w:rFonts w:ascii="Verdana" w:hAnsi="Verdana"/>
          <w:sz w:val="20"/>
          <w:szCs w:val="20"/>
        </w:rPr>
        <w:t>A 5 percent penalty will be added to the accounts of taxpayers who were eligible for the program, but did not participate.</w:t>
      </w:r>
      <w:r>
        <w:rPr>
          <w:rFonts w:ascii="Verdana" w:hAnsi="Verdana"/>
          <w:sz w:val="20"/>
          <w:szCs w:val="20"/>
        </w:rPr>
        <w:t xml:space="preserve"> </w:t>
      </w:r>
      <w:r w:rsidRPr="0028278A">
        <w:rPr>
          <w:rFonts w:ascii="Verdana" w:hAnsi="Verdana"/>
          <w:sz w:val="20"/>
          <w:szCs w:val="20"/>
        </w:rPr>
        <w:t>The preliminary tax amnesty collections totals may be revised slightly in the coming weeks.</w:t>
      </w:r>
    </w:p>
    <w:p w:rsidR="003B58F1" w:rsidRDefault="003B58F1" w:rsidP="003769F8">
      <w:pPr>
        <w:spacing w:after="0" w:line="240" w:lineRule="auto"/>
        <w:rPr>
          <w:rFonts w:ascii="Verdana" w:eastAsia="Verdana" w:hAnsi="Verdana" w:cs="Verdana"/>
          <w:b/>
          <w:bCs/>
          <w:position w:val="-2"/>
          <w:u w:val="thick" w:color="000000"/>
        </w:rPr>
      </w:pPr>
    </w:p>
    <w:p w:rsidR="003769F8" w:rsidRPr="004D3169" w:rsidRDefault="00635217" w:rsidP="000C6D28">
      <w:pPr>
        <w:rPr>
          <w:rFonts w:ascii="Verdana" w:eastAsia="Verdana" w:hAnsi="Verdana" w:cs="Verdana"/>
          <w:b/>
          <w:bCs/>
          <w:spacing w:val="1"/>
          <w:position w:val="-1"/>
          <w:u w:val="thick" w:color="000000"/>
        </w:rPr>
      </w:pPr>
      <w:r w:rsidRPr="004D3169">
        <w:rPr>
          <w:rFonts w:ascii="Verdana" w:eastAsia="Verdana" w:hAnsi="Verdana" w:cs="Verdana"/>
          <w:b/>
          <w:bCs/>
          <w:spacing w:val="1"/>
          <w:position w:val="-1"/>
          <w:u w:val="thick" w:color="000000"/>
        </w:rPr>
        <w:t>IRRC UPDATES</w:t>
      </w:r>
    </w:p>
    <w:p w:rsidR="001950DF" w:rsidRPr="00E663C6" w:rsidRDefault="001950DF" w:rsidP="001950DF">
      <w:pPr>
        <w:pStyle w:val="Heading1"/>
        <w:shd w:val="clear" w:color="auto" w:fill="FFFFFF"/>
        <w:jc w:val="center"/>
        <w:rPr>
          <w:rFonts w:ascii="Verdana" w:hAnsi="Verdana"/>
          <w:color w:val="000000"/>
          <w:sz w:val="20"/>
          <w:szCs w:val="22"/>
        </w:rPr>
      </w:pPr>
      <w:r w:rsidRPr="00E663C6">
        <w:rPr>
          <w:rFonts w:ascii="Verdana" w:hAnsi="Verdana"/>
          <w:color w:val="000000"/>
          <w:sz w:val="20"/>
          <w:szCs w:val="22"/>
        </w:rPr>
        <w:t>NOTICES</w:t>
      </w:r>
    </w:p>
    <w:p w:rsidR="001950DF" w:rsidRPr="00E663C6" w:rsidRDefault="001950DF" w:rsidP="001950DF">
      <w:pPr>
        <w:pStyle w:val="Heading2"/>
        <w:shd w:val="clear" w:color="auto" w:fill="FFFFFF"/>
        <w:jc w:val="center"/>
        <w:rPr>
          <w:rFonts w:ascii="Verdana" w:hAnsi="Verdana"/>
          <w:color w:val="000000"/>
          <w:sz w:val="20"/>
          <w:szCs w:val="22"/>
        </w:rPr>
      </w:pPr>
      <w:r w:rsidRPr="00E663C6">
        <w:rPr>
          <w:rFonts w:ascii="Verdana" w:hAnsi="Verdana"/>
          <w:color w:val="000000"/>
          <w:sz w:val="20"/>
          <w:szCs w:val="22"/>
        </w:rPr>
        <w:t>INDEPENDENT REGULATORY REVIEW COMMISSION</w:t>
      </w:r>
    </w:p>
    <w:p w:rsidR="001950DF" w:rsidRPr="00E663C6" w:rsidRDefault="001950DF" w:rsidP="001950DF">
      <w:pPr>
        <w:pStyle w:val="Heading3"/>
        <w:shd w:val="clear" w:color="auto" w:fill="FFFFFF"/>
        <w:jc w:val="center"/>
        <w:rPr>
          <w:rFonts w:ascii="Verdana" w:hAnsi="Verdana"/>
          <w:color w:val="000000"/>
          <w:sz w:val="20"/>
        </w:rPr>
      </w:pPr>
      <w:r w:rsidRPr="00E663C6">
        <w:rPr>
          <w:rFonts w:ascii="Verdana" w:hAnsi="Verdana"/>
          <w:color w:val="000000"/>
          <w:sz w:val="20"/>
        </w:rPr>
        <w:t>Notic</w:t>
      </w:r>
      <w:r w:rsidR="00E663C6">
        <w:rPr>
          <w:rFonts w:ascii="Verdana" w:hAnsi="Verdana"/>
          <w:color w:val="000000"/>
          <w:sz w:val="20"/>
        </w:rPr>
        <w:t>e of Filing of Final Rulemaking</w:t>
      </w:r>
    </w:p>
    <w:p w:rsidR="001950DF" w:rsidRPr="00E663C6" w:rsidRDefault="001950DF" w:rsidP="001950DF">
      <w:pPr>
        <w:pStyle w:val="Heading4"/>
        <w:shd w:val="clear" w:color="auto" w:fill="FFFFFF"/>
        <w:jc w:val="center"/>
        <w:rPr>
          <w:rFonts w:ascii="Verdana" w:hAnsi="Verdana"/>
          <w:color w:val="000000"/>
          <w:sz w:val="20"/>
        </w:rPr>
      </w:pPr>
      <w:r w:rsidRPr="00E663C6">
        <w:rPr>
          <w:rFonts w:ascii="Verdana" w:hAnsi="Verdana"/>
          <w:color w:val="000000"/>
          <w:sz w:val="20"/>
        </w:rPr>
        <w:t xml:space="preserve">[47 </w:t>
      </w:r>
      <w:proofErr w:type="spellStart"/>
      <w:r w:rsidRPr="00E663C6">
        <w:rPr>
          <w:rFonts w:ascii="Verdana" w:hAnsi="Verdana"/>
          <w:color w:val="000000"/>
          <w:sz w:val="20"/>
        </w:rPr>
        <w:t>Pa.B</w:t>
      </w:r>
      <w:proofErr w:type="spellEnd"/>
      <w:r w:rsidRPr="00E663C6">
        <w:rPr>
          <w:rFonts w:ascii="Verdana" w:hAnsi="Verdana"/>
          <w:color w:val="000000"/>
          <w:sz w:val="20"/>
        </w:rPr>
        <w:t>. 3933]</w:t>
      </w:r>
      <w:r w:rsidRPr="00E663C6">
        <w:rPr>
          <w:rFonts w:ascii="Verdana" w:hAnsi="Verdana"/>
          <w:color w:val="000000"/>
          <w:sz w:val="20"/>
        </w:rPr>
        <w:br/>
        <w:t>[Saturday, July 15, 2017]</w:t>
      </w:r>
    </w:p>
    <w:p w:rsidR="001950DF" w:rsidRPr="00E663C6" w:rsidRDefault="001950DF" w:rsidP="001950DF">
      <w:pPr>
        <w:pStyle w:val="NormalWeb"/>
        <w:shd w:val="clear" w:color="auto" w:fill="FFFFFF"/>
        <w:rPr>
          <w:rFonts w:ascii="Verdana" w:hAnsi="Verdana"/>
          <w:color w:val="000000"/>
          <w:sz w:val="20"/>
          <w:szCs w:val="22"/>
        </w:rPr>
      </w:pPr>
      <w:r w:rsidRPr="00E663C6">
        <w:rPr>
          <w:color w:val="000000"/>
          <w:sz w:val="20"/>
          <w:szCs w:val="22"/>
        </w:rPr>
        <w:t> </w:t>
      </w:r>
      <w:r w:rsidRPr="00E663C6">
        <w:rPr>
          <w:rFonts w:ascii="Verdana" w:hAnsi="Verdana"/>
          <w:color w:val="000000"/>
          <w:sz w:val="20"/>
          <w:szCs w:val="22"/>
        </w:rPr>
        <w:t xml:space="preserve">The Independent Regulatory Review Commission (Commission) received the following regulations. They are scheduled to be considered on the date noted. The Commission's public meetings are held at 333 Market Street, 14th Floor, </w:t>
      </w:r>
      <w:proofErr w:type="gramStart"/>
      <w:r w:rsidRPr="00E663C6">
        <w:rPr>
          <w:rFonts w:ascii="Verdana" w:hAnsi="Verdana"/>
          <w:color w:val="000000"/>
          <w:sz w:val="20"/>
          <w:szCs w:val="22"/>
        </w:rPr>
        <w:t>Harrisburg</w:t>
      </w:r>
      <w:proofErr w:type="gramEnd"/>
      <w:r w:rsidRPr="00E663C6">
        <w:rPr>
          <w:rFonts w:ascii="Verdana" w:hAnsi="Verdana"/>
          <w:color w:val="000000"/>
          <w:sz w:val="20"/>
          <w:szCs w:val="22"/>
        </w:rPr>
        <w:t>, PA at 10 a.m. To obtain a copy of the regulation, interested parties should first contact the promulgating agency. If a copy cannot be obtained from the promulgating agency, the Commission will provide a copy or it can be viewed on the Commission's web site at www.irrc.state.pa.us.</w:t>
      </w:r>
    </w:p>
    <w:p w:rsidR="001950DF" w:rsidRPr="00E663C6" w:rsidRDefault="001950DF" w:rsidP="001950DF">
      <w:pPr>
        <w:rPr>
          <w:rFonts w:ascii="Verdana" w:hAnsi="Verdana"/>
          <w:vanish/>
          <w:sz w:val="20"/>
        </w:rPr>
      </w:pPr>
    </w:p>
    <w:tbl>
      <w:tblPr>
        <w:tblW w:w="0" w:type="auto"/>
        <w:tblCellSpacing w:w="15" w:type="dxa"/>
        <w:shd w:val="clear" w:color="auto" w:fill="FFFFFF"/>
        <w:tblCellMar>
          <w:top w:w="15" w:type="dxa"/>
          <w:left w:w="15" w:type="dxa"/>
          <w:bottom w:w="15" w:type="dxa"/>
          <w:right w:w="15" w:type="dxa"/>
        </w:tblCellMar>
        <w:tblLook w:val="04A0"/>
      </w:tblPr>
      <w:tblGrid>
        <w:gridCol w:w="1066"/>
        <w:gridCol w:w="4829"/>
        <w:gridCol w:w="1071"/>
        <w:gridCol w:w="972"/>
      </w:tblGrid>
      <w:tr w:rsidR="001950DF" w:rsidRPr="00E663C6" w:rsidTr="001950DF">
        <w:trPr>
          <w:tblCellSpacing w:w="15" w:type="dxa"/>
        </w:trPr>
        <w:tc>
          <w:tcPr>
            <w:tcW w:w="0" w:type="auto"/>
            <w:shd w:val="clear" w:color="auto" w:fill="FFFFFF"/>
            <w:vAlign w:val="bottom"/>
            <w:hideMark/>
          </w:tcPr>
          <w:p w:rsidR="001950DF" w:rsidRPr="00E663C6" w:rsidRDefault="001950DF">
            <w:pPr>
              <w:jc w:val="center"/>
              <w:rPr>
                <w:rFonts w:ascii="Verdana" w:hAnsi="Verdana"/>
                <w:b/>
                <w:bCs/>
                <w:sz w:val="20"/>
              </w:rPr>
            </w:pPr>
            <w:r w:rsidRPr="00E663C6">
              <w:rPr>
                <w:rFonts w:ascii="Verdana" w:hAnsi="Verdana"/>
                <w:b/>
                <w:bCs/>
                <w:sz w:val="20"/>
              </w:rPr>
              <w:t>Final</w:t>
            </w:r>
          </w:p>
        </w:tc>
        <w:tc>
          <w:tcPr>
            <w:tcW w:w="0" w:type="auto"/>
            <w:shd w:val="clear" w:color="auto" w:fill="FFFFFF"/>
            <w:vAlign w:val="bottom"/>
            <w:hideMark/>
          </w:tcPr>
          <w:p w:rsidR="001950DF" w:rsidRPr="00E663C6" w:rsidRDefault="001950DF">
            <w:pPr>
              <w:jc w:val="center"/>
              <w:rPr>
                <w:rFonts w:ascii="Verdana" w:hAnsi="Verdana"/>
                <w:b/>
                <w:bCs/>
                <w:sz w:val="20"/>
              </w:rPr>
            </w:pPr>
          </w:p>
        </w:tc>
        <w:tc>
          <w:tcPr>
            <w:tcW w:w="0" w:type="auto"/>
            <w:shd w:val="clear" w:color="auto" w:fill="FFFFFF"/>
            <w:vAlign w:val="bottom"/>
            <w:hideMark/>
          </w:tcPr>
          <w:p w:rsidR="001950DF" w:rsidRPr="00E663C6" w:rsidRDefault="001950DF">
            <w:pPr>
              <w:jc w:val="center"/>
              <w:rPr>
                <w:rFonts w:ascii="Verdana" w:hAnsi="Verdana"/>
                <w:b/>
                <w:bCs/>
                <w:sz w:val="20"/>
              </w:rPr>
            </w:pPr>
          </w:p>
        </w:tc>
        <w:tc>
          <w:tcPr>
            <w:tcW w:w="0" w:type="auto"/>
            <w:shd w:val="clear" w:color="auto" w:fill="FFFFFF"/>
            <w:vAlign w:val="bottom"/>
            <w:hideMark/>
          </w:tcPr>
          <w:p w:rsidR="001950DF" w:rsidRPr="00E663C6" w:rsidRDefault="001950DF">
            <w:pPr>
              <w:jc w:val="center"/>
              <w:rPr>
                <w:rFonts w:ascii="Verdana" w:hAnsi="Verdana"/>
                <w:b/>
                <w:bCs/>
                <w:sz w:val="20"/>
              </w:rPr>
            </w:pPr>
            <w:r w:rsidRPr="00E663C6">
              <w:rPr>
                <w:rFonts w:ascii="Verdana" w:hAnsi="Verdana"/>
                <w:b/>
                <w:bCs/>
                <w:sz w:val="20"/>
              </w:rPr>
              <w:t>Public</w:t>
            </w:r>
          </w:p>
        </w:tc>
      </w:tr>
      <w:tr w:rsidR="001950DF" w:rsidRPr="00E663C6" w:rsidTr="001950DF">
        <w:trPr>
          <w:tblCellSpacing w:w="15" w:type="dxa"/>
        </w:trPr>
        <w:tc>
          <w:tcPr>
            <w:tcW w:w="0" w:type="auto"/>
            <w:shd w:val="clear" w:color="auto" w:fill="FFFFFF"/>
            <w:vAlign w:val="bottom"/>
            <w:hideMark/>
          </w:tcPr>
          <w:p w:rsidR="001950DF" w:rsidRPr="00E663C6" w:rsidRDefault="001950DF">
            <w:pPr>
              <w:jc w:val="center"/>
              <w:rPr>
                <w:rFonts w:ascii="Verdana" w:hAnsi="Verdana"/>
                <w:b/>
                <w:bCs/>
                <w:sz w:val="20"/>
              </w:rPr>
            </w:pPr>
            <w:r w:rsidRPr="00E663C6">
              <w:rPr>
                <w:rFonts w:ascii="Verdana" w:hAnsi="Verdana"/>
                <w:b/>
                <w:bCs/>
                <w:sz w:val="20"/>
              </w:rPr>
              <w:t>Reg. No.</w:t>
            </w:r>
          </w:p>
        </w:tc>
        <w:tc>
          <w:tcPr>
            <w:tcW w:w="0" w:type="auto"/>
            <w:shd w:val="clear" w:color="auto" w:fill="FFFFFF"/>
            <w:vAlign w:val="bottom"/>
            <w:hideMark/>
          </w:tcPr>
          <w:p w:rsidR="001950DF" w:rsidRPr="00E663C6" w:rsidRDefault="001950DF">
            <w:pPr>
              <w:jc w:val="center"/>
              <w:rPr>
                <w:rFonts w:ascii="Verdana" w:hAnsi="Verdana"/>
                <w:b/>
                <w:bCs/>
                <w:sz w:val="20"/>
              </w:rPr>
            </w:pPr>
            <w:r w:rsidRPr="00E663C6">
              <w:rPr>
                <w:rFonts w:ascii="Verdana" w:hAnsi="Verdana"/>
                <w:b/>
                <w:bCs/>
                <w:sz w:val="20"/>
              </w:rPr>
              <w:t>Agency/Title</w:t>
            </w:r>
          </w:p>
        </w:tc>
        <w:tc>
          <w:tcPr>
            <w:tcW w:w="0" w:type="auto"/>
            <w:shd w:val="clear" w:color="auto" w:fill="FFFFFF"/>
            <w:vAlign w:val="bottom"/>
            <w:hideMark/>
          </w:tcPr>
          <w:p w:rsidR="001950DF" w:rsidRPr="00E663C6" w:rsidRDefault="001950DF">
            <w:pPr>
              <w:jc w:val="center"/>
              <w:rPr>
                <w:rFonts w:ascii="Verdana" w:hAnsi="Verdana"/>
                <w:b/>
                <w:bCs/>
                <w:sz w:val="20"/>
              </w:rPr>
            </w:pPr>
            <w:r w:rsidRPr="00E663C6">
              <w:rPr>
                <w:rFonts w:ascii="Verdana" w:hAnsi="Verdana"/>
                <w:b/>
                <w:bCs/>
                <w:sz w:val="20"/>
              </w:rPr>
              <w:t>Received</w:t>
            </w:r>
          </w:p>
        </w:tc>
        <w:tc>
          <w:tcPr>
            <w:tcW w:w="0" w:type="auto"/>
            <w:shd w:val="clear" w:color="auto" w:fill="FFFFFF"/>
            <w:vAlign w:val="bottom"/>
            <w:hideMark/>
          </w:tcPr>
          <w:p w:rsidR="001950DF" w:rsidRPr="00E663C6" w:rsidRDefault="001950DF">
            <w:pPr>
              <w:jc w:val="center"/>
              <w:rPr>
                <w:rFonts w:ascii="Verdana" w:hAnsi="Verdana"/>
                <w:b/>
                <w:bCs/>
                <w:sz w:val="20"/>
              </w:rPr>
            </w:pPr>
            <w:r w:rsidRPr="00E663C6">
              <w:rPr>
                <w:rFonts w:ascii="Verdana" w:hAnsi="Verdana"/>
                <w:b/>
                <w:bCs/>
                <w:sz w:val="20"/>
              </w:rPr>
              <w:t>Meeting</w:t>
            </w:r>
          </w:p>
        </w:tc>
      </w:tr>
      <w:tr w:rsidR="001950DF" w:rsidRPr="00E663C6" w:rsidTr="001950DF">
        <w:trPr>
          <w:tblCellSpacing w:w="15" w:type="dxa"/>
        </w:trPr>
        <w:tc>
          <w:tcPr>
            <w:tcW w:w="0" w:type="auto"/>
            <w:shd w:val="clear" w:color="auto" w:fill="FFFFFF"/>
            <w:hideMark/>
          </w:tcPr>
          <w:p w:rsidR="001950DF" w:rsidRPr="00E663C6" w:rsidRDefault="001950DF">
            <w:pPr>
              <w:rPr>
                <w:rFonts w:ascii="Verdana" w:hAnsi="Verdana"/>
                <w:sz w:val="20"/>
              </w:rPr>
            </w:pPr>
            <w:r w:rsidRPr="00E663C6">
              <w:rPr>
                <w:rFonts w:ascii="Verdana" w:hAnsi="Verdana"/>
                <w:sz w:val="20"/>
              </w:rPr>
              <w:t>16A-5514</w:t>
            </w:r>
          </w:p>
        </w:tc>
        <w:tc>
          <w:tcPr>
            <w:tcW w:w="0" w:type="auto"/>
            <w:shd w:val="clear" w:color="auto" w:fill="FFFFFF"/>
            <w:hideMark/>
          </w:tcPr>
          <w:p w:rsidR="001950DF" w:rsidRPr="00E663C6" w:rsidRDefault="001950DF">
            <w:pPr>
              <w:rPr>
                <w:rFonts w:ascii="Verdana" w:hAnsi="Verdana"/>
                <w:sz w:val="20"/>
              </w:rPr>
            </w:pPr>
            <w:r w:rsidRPr="00E663C6">
              <w:rPr>
                <w:rFonts w:ascii="Verdana" w:hAnsi="Verdana"/>
                <w:sz w:val="20"/>
              </w:rPr>
              <w:t>Bureau of Professional and Occupational Affairs</w:t>
            </w:r>
            <w:r w:rsidRPr="00E663C6">
              <w:rPr>
                <w:rFonts w:ascii="Verdana" w:hAnsi="Verdana"/>
                <w:sz w:val="20"/>
              </w:rPr>
              <w:br/>
              <w:t>Schedule of Civil Penalties—Accountants</w:t>
            </w:r>
          </w:p>
        </w:tc>
        <w:tc>
          <w:tcPr>
            <w:tcW w:w="0" w:type="auto"/>
            <w:shd w:val="clear" w:color="auto" w:fill="FFFFFF"/>
            <w:hideMark/>
          </w:tcPr>
          <w:p w:rsidR="001950DF" w:rsidRPr="00E663C6" w:rsidRDefault="001950DF">
            <w:pPr>
              <w:rPr>
                <w:rFonts w:ascii="Verdana" w:hAnsi="Verdana"/>
                <w:sz w:val="20"/>
              </w:rPr>
            </w:pPr>
            <w:r w:rsidRPr="00E663C6">
              <w:rPr>
                <w:rFonts w:ascii="Verdana" w:hAnsi="Verdana"/>
                <w:sz w:val="20"/>
              </w:rPr>
              <w:t>6/30/17</w:t>
            </w:r>
          </w:p>
        </w:tc>
        <w:tc>
          <w:tcPr>
            <w:tcW w:w="0" w:type="auto"/>
            <w:shd w:val="clear" w:color="auto" w:fill="FFFFFF"/>
            <w:hideMark/>
          </w:tcPr>
          <w:p w:rsidR="001950DF" w:rsidRPr="00E663C6" w:rsidRDefault="001950DF">
            <w:pPr>
              <w:rPr>
                <w:rFonts w:ascii="Verdana" w:hAnsi="Verdana"/>
                <w:sz w:val="20"/>
              </w:rPr>
            </w:pPr>
            <w:r w:rsidRPr="00E663C6">
              <w:rPr>
                <w:rFonts w:ascii="Verdana" w:hAnsi="Verdana"/>
                <w:sz w:val="20"/>
              </w:rPr>
              <w:t>8/24/17</w:t>
            </w:r>
          </w:p>
        </w:tc>
      </w:tr>
      <w:tr w:rsidR="001950DF" w:rsidRPr="00E663C6" w:rsidTr="001950DF">
        <w:trPr>
          <w:tblCellSpacing w:w="15" w:type="dxa"/>
        </w:trPr>
        <w:tc>
          <w:tcPr>
            <w:tcW w:w="0" w:type="auto"/>
            <w:shd w:val="clear" w:color="auto" w:fill="FFFFFF"/>
            <w:hideMark/>
          </w:tcPr>
          <w:p w:rsidR="001950DF" w:rsidRPr="00E663C6" w:rsidRDefault="001950DF">
            <w:pPr>
              <w:rPr>
                <w:rFonts w:ascii="Verdana" w:hAnsi="Verdana"/>
                <w:sz w:val="20"/>
              </w:rPr>
            </w:pPr>
            <w:r w:rsidRPr="00E663C6">
              <w:rPr>
                <w:rFonts w:ascii="Verdana" w:hAnsi="Verdana"/>
                <w:sz w:val="20"/>
              </w:rPr>
              <w:t>16A-4413</w:t>
            </w:r>
          </w:p>
        </w:tc>
        <w:tc>
          <w:tcPr>
            <w:tcW w:w="0" w:type="auto"/>
            <w:shd w:val="clear" w:color="auto" w:fill="FFFFFF"/>
            <w:hideMark/>
          </w:tcPr>
          <w:p w:rsidR="001950DF" w:rsidRPr="00E663C6" w:rsidRDefault="001950DF">
            <w:pPr>
              <w:rPr>
                <w:rFonts w:ascii="Verdana" w:hAnsi="Verdana"/>
                <w:sz w:val="20"/>
              </w:rPr>
            </w:pPr>
            <w:r w:rsidRPr="00E663C6">
              <w:rPr>
                <w:rFonts w:ascii="Verdana" w:hAnsi="Verdana"/>
                <w:sz w:val="20"/>
              </w:rPr>
              <w:t>Bureau of Professional and Occupational Affairs</w:t>
            </w:r>
            <w:r w:rsidRPr="00E663C6">
              <w:rPr>
                <w:rFonts w:ascii="Verdana" w:hAnsi="Verdana"/>
                <w:sz w:val="20"/>
              </w:rPr>
              <w:br/>
              <w:t>Schedule of Civil Penalties—Podiatrists</w:t>
            </w:r>
          </w:p>
        </w:tc>
        <w:tc>
          <w:tcPr>
            <w:tcW w:w="0" w:type="auto"/>
            <w:shd w:val="clear" w:color="auto" w:fill="FFFFFF"/>
            <w:hideMark/>
          </w:tcPr>
          <w:p w:rsidR="001950DF" w:rsidRPr="00E663C6" w:rsidRDefault="001950DF">
            <w:pPr>
              <w:rPr>
                <w:rFonts w:ascii="Verdana" w:hAnsi="Verdana"/>
                <w:sz w:val="20"/>
              </w:rPr>
            </w:pPr>
            <w:r w:rsidRPr="00E663C6">
              <w:rPr>
                <w:rFonts w:ascii="Verdana" w:hAnsi="Verdana"/>
                <w:sz w:val="20"/>
              </w:rPr>
              <w:t>6/30/17</w:t>
            </w:r>
          </w:p>
        </w:tc>
        <w:tc>
          <w:tcPr>
            <w:tcW w:w="0" w:type="auto"/>
            <w:shd w:val="clear" w:color="auto" w:fill="FFFFFF"/>
            <w:hideMark/>
          </w:tcPr>
          <w:p w:rsidR="001950DF" w:rsidRPr="00E663C6" w:rsidRDefault="001950DF">
            <w:pPr>
              <w:rPr>
                <w:rFonts w:ascii="Verdana" w:hAnsi="Verdana"/>
                <w:sz w:val="20"/>
              </w:rPr>
            </w:pPr>
            <w:r w:rsidRPr="00E663C6">
              <w:rPr>
                <w:rFonts w:ascii="Verdana" w:hAnsi="Verdana"/>
                <w:sz w:val="20"/>
              </w:rPr>
              <w:t>8/24/17</w:t>
            </w:r>
          </w:p>
        </w:tc>
      </w:tr>
      <w:tr w:rsidR="001950DF" w:rsidRPr="00E663C6" w:rsidTr="001950DF">
        <w:trPr>
          <w:tblCellSpacing w:w="15" w:type="dxa"/>
        </w:trPr>
        <w:tc>
          <w:tcPr>
            <w:tcW w:w="0" w:type="auto"/>
            <w:shd w:val="clear" w:color="auto" w:fill="FFFFFF"/>
            <w:hideMark/>
          </w:tcPr>
          <w:p w:rsidR="001950DF" w:rsidRPr="00E663C6" w:rsidRDefault="001950DF">
            <w:pPr>
              <w:rPr>
                <w:rFonts w:ascii="Verdana" w:hAnsi="Verdana"/>
                <w:sz w:val="20"/>
              </w:rPr>
            </w:pPr>
            <w:r w:rsidRPr="00E663C6">
              <w:rPr>
                <w:rFonts w:ascii="Verdana" w:hAnsi="Verdana"/>
                <w:sz w:val="20"/>
              </w:rPr>
              <w:t>16A-5513</w:t>
            </w:r>
          </w:p>
        </w:tc>
        <w:tc>
          <w:tcPr>
            <w:tcW w:w="0" w:type="auto"/>
            <w:shd w:val="clear" w:color="auto" w:fill="FFFFFF"/>
            <w:hideMark/>
          </w:tcPr>
          <w:p w:rsidR="001950DF" w:rsidRPr="00E663C6" w:rsidRDefault="001950DF">
            <w:pPr>
              <w:rPr>
                <w:rFonts w:ascii="Verdana" w:hAnsi="Verdana"/>
                <w:sz w:val="20"/>
              </w:rPr>
            </w:pPr>
            <w:r w:rsidRPr="00E663C6">
              <w:rPr>
                <w:rFonts w:ascii="Verdana" w:hAnsi="Verdana"/>
                <w:sz w:val="20"/>
              </w:rPr>
              <w:t>State Board of Accountancy</w:t>
            </w:r>
            <w:r w:rsidRPr="00E663C6">
              <w:rPr>
                <w:rFonts w:ascii="Verdana" w:hAnsi="Verdana"/>
                <w:sz w:val="20"/>
              </w:rPr>
              <w:br/>
              <w:t>Act 73 and Act 15 Amendments</w:t>
            </w:r>
          </w:p>
        </w:tc>
        <w:tc>
          <w:tcPr>
            <w:tcW w:w="0" w:type="auto"/>
            <w:shd w:val="clear" w:color="auto" w:fill="FFFFFF"/>
            <w:hideMark/>
          </w:tcPr>
          <w:p w:rsidR="001950DF" w:rsidRPr="00E663C6" w:rsidRDefault="001950DF">
            <w:pPr>
              <w:rPr>
                <w:rFonts w:ascii="Verdana" w:hAnsi="Verdana"/>
                <w:sz w:val="20"/>
              </w:rPr>
            </w:pPr>
            <w:r w:rsidRPr="00E663C6">
              <w:rPr>
                <w:rFonts w:ascii="Verdana" w:hAnsi="Verdana"/>
                <w:sz w:val="20"/>
              </w:rPr>
              <w:t>6/30/17</w:t>
            </w:r>
          </w:p>
        </w:tc>
        <w:tc>
          <w:tcPr>
            <w:tcW w:w="0" w:type="auto"/>
            <w:shd w:val="clear" w:color="auto" w:fill="FFFFFF"/>
            <w:hideMark/>
          </w:tcPr>
          <w:p w:rsidR="001950DF" w:rsidRPr="00E663C6" w:rsidRDefault="001950DF">
            <w:pPr>
              <w:rPr>
                <w:rFonts w:ascii="Verdana" w:hAnsi="Verdana"/>
                <w:sz w:val="20"/>
              </w:rPr>
            </w:pPr>
            <w:r w:rsidRPr="00E663C6">
              <w:rPr>
                <w:rFonts w:ascii="Verdana" w:hAnsi="Verdana"/>
                <w:sz w:val="20"/>
              </w:rPr>
              <w:t>8/24/17</w:t>
            </w:r>
          </w:p>
        </w:tc>
      </w:tr>
    </w:tbl>
    <w:p w:rsidR="005217C3" w:rsidRPr="005217C3" w:rsidRDefault="005217C3" w:rsidP="005217C3"/>
    <w:p w:rsidR="005217C3" w:rsidRDefault="005217C3" w:rsidP="005217C3"/>
    <w:p w:rsidR="002677BE" w:rsidRPr="005217C3" w:rsidRDefault="002677BE" w:rsidP="005217C3">
      <w:pPr>
        <w:ind w:firstLine="720"/>
      </w:pPr>
    </w:p>
    <w:sectPr w:rsidR="002677BE" w:rsidRPr="005217C3"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11E" w:rsidRDefault="00B1311E" w:rsidP="002B51AE">
      <w:pPr>
        <w:spacing w:after="0" w:line="240" w:lineRule="auto"/>
      </w:pPr>
      <w:r>
        <w:separator/>
      </w:r>
    </w:p>
  </w:endnote>
  <w:endnote w:type="continuationSeparator" w:id="0">
    <w:p w:rsidR="00B1311E" w:rsidRDefault="00B1311E"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11E" w:rsidRDefault="00B1311E" w:rsidP="002B51AE">
      <w:pPr>
        <w:spacing w:after="0" w:line="240" w:lineRule="auto"/>
      </w:pPr>
      <w:r>
        <w:separator/>
      </w:r>
    </w:p>
  </w:footnote>
  <w:footnote w:type="continuationSeparator" w:id="0">
    <w:p w:rsidR="00B1311E" w:rsidRDefault="00B1311E"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5E5"/>
    <w:multiLevelType w:val="hybridMultilevel"/>
    <w:tmpl w:val="BE6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562E3"/>
    <w:multiLevelType w:val="hybridMultilevel"/>
    <w:tmpl w:val="EA126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E0805"/>
    <w:multiLevelType w:val="multilevel"/>
    <w:tmpl w:val="B160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641162"/>
    <w:multiLevelType w:val="multilevel"/>
    <w:tmpl w:val="228A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E40D0"/>
    <w:multiLevelType w:val="multilevel"/>
    <w:tmpl w:val="3456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E25E7"/>
    <w:multiLevelType w:val="multilevel"/>
    <w:tmpl w:val="A9B8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15E2D"/>
    <w:multiLevelType w:val="multilevel"/>
    <w:tmpl w:val="7BF0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7252A"/>
    <w:multiLevelType w:val="multilevel"/>
    <w:tmpl w:val="CBD6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904BC6"/>
    <w:multiLevelType w:val="multilevel"/>
    <w:tmpl w:val="62C4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D100B"/>
    <w:multiLevelType w:val="hybridMultilevel"/>
    <w:tmpl w:val="3F0ACEE8"/>
    <w:lvl w:ilvl="0" w:tplc="18828A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25519"/>
    <w:multiLevelType w:val="multilevel"/>
    <w:tmpl w:val="E3643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0DD6400"/>
    <w:multiLevelType w:val="multilevel"/>
    <w:tmpl w:val="54769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F743B7"/>
    <w:multiLevelType w:val="multilevel"/>
    <w:tmpl w:val="0B86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C73CC"/>
    <w:multiLevelType w:val="hybridMultilevel"/>
    <w:tmpl w:val="48C2B502"/>
    <w:lvl w:ilvl="0" w:tplc="BC1AD4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B1787"/>
    <w:multiLevelType w:val="multilevel"/>
    <w:tmpl w:val="B146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905F15"/>
    <w:multiLevelType w:val="multilevel"/>
    <w:tmpl w:val="EB4E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D74D8F"/>
    <w:multiLevelType w:val="multilevel"/>
    <w:tmpl w:val="61FE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1E67C1"/>
    <w:multiLevelType w:val="multilevel"/>
    <w:tmpl w:val="2788D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A2200E"/>
    <w:multiLevelType w:val="multilevel"/>
    <w:tmpl w:val="DBB8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B43D50"/>
    <w:multiLevelType w:val="multilevel"/>
    <w:tmpl w:val="B61C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040B27"/>
    <w:multiLevelType w:val="multilevel"/>
    <w:tmpl w:val="06EA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457C08"/>
    <w:multiLevelType w:val="multilevel"/>
    <w:tmpl w:val="077A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D94DAF"/>
    <w:multiLevelType w:val="multilevel"/>
    <w:tmpl w:val="FF4E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7071C7"/>
    <w:multiLevelType w:val="multilevel"/>
    <w:tmpl w:val="50B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4A0EB3"/>
    <w:multiLevelType w:val="hybridMultilevel"/>
    <w:tmpl w:val="DDBA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314ED"/>
    <w:multiLevelType w:val="multilevel"/>
    <w:tmpl w:val="D4F6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771070"/>
    <w:multiLevelType w:val="multilevel"/>
    <w:tmpl w:val="A2B2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A41B40"/>
    <w:multiLevelType w:val="multilevel"/>
    <w:tmpl w:val="191E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4724E0"/>
    <w:multiLevelType w:val="multilevel"/>
    <w:tmpl w:val="D18E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352320"/>
    <w:multiLevelType w:val="multilevel"/>
    <w:tmpl w:val="6B9E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1F4B3F"/>
    <w:multiLevelType w:val="multilevel"/>
    <w:tmpl w:val="EEC6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AE0BF4"/>
    <w:multiLevelType w:val="multilevel"/>
    <w:tmpl w:val="753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0917A8"/>
    <w:multiLevelType w:val="multilevel"/>
    <w:tmpl w:val="7D70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796718"/>
    <w:multiLevelType w:val="multilevel"/>
    <w:tmpl w:val="A376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611718"/>
    <w:multiLevelType w:val="multilevel"/>
    <w:tmpl w:val="4C14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E324ADD"/>
    <w:multiLevelType w:val="multilevel"/>
    <w:tmpl w:val="A934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2E916F1"/>
    <w:multiLevelType w:val="multilevel"/>
    <w:tmpl w:val="8F2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3E7680"/>
    <w:multiLevelType w:val="multilevel"/>
    <w:tmpl w:val="E11A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69A442B"/>
    <w:multiLevelType w:val="multilevel"/>
    <w:tmpl w:val="CD78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F0307E"/>
    <w:multiLevelType w:val="multilevel"/>
    <w:tmpl w:val="FC3C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D664AF"/>
    <w:multiLevelType w:val="multilevel"/>
    <w:tmpl w:val="C720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14"/>
  </w:num>
  <w:num w:numId="4">
    <w:abstractNumId w:val="30"/>
  </w:num>
  <w:num w:numId="5">
    <w:abstractNumId w:val="4"/>
  </w:num>
  <w:num w:numId="6">
    <w:abstractNumId w:val="28"/>
  </w:num>
  <w:num w:numId="7">
    <w:abstractNumId w:val="22"/>
  </w:num>
  <w:num w:numId="8">
    <w:abstractNumId w:val="23"/>
  </w:num>
  <w:num w:numId="9">
    <w:abstractNumId w:val="37"/>
  </w:num>
  <w:num w:numId="10">
    <w:abstractNumId w:val="32"/>
  </w:num>
  <w:num w:numId="11">
    <w:abstractNumId w:val="31"/>
  </w:num>
  <w:num w:numId="12">
    <w:abstractNumId w:val="3"/>
  </w:num>
  <w:num w:numId="13">
    <w:abstractNumId w:val="2"/>
  </w:num>
  <w:num w:numId="14">
    <w:abstractNumId w:val="16"/>
  </w:num>
  <w:num w:numId="15">
    <w:abstractNumId w:val="20"/>
  </w:num>
  <w:num w:numId="16">
    <w:abstractNumId w:val="5"/>
  </w:num>
  <w:num w:numId="17">
    <w:abstractNumId w:val="17"/>
  </w:num>
  <w:num w:numId="18">
    <w:abstractNumId w:val="0"/>
  </w:num>
  <w:num w:numId="19">
    <w:abstractNumId w:val="26"/>
  </w:num>
  <w:num w:numId="20">
    <w:abstractNumId w:val="7"/>
  </w:num>
  <w:num w:numId="21">
    <w:abstractNumId w:val="35"/>
  </w:num>
  <w:num w:numId="22">
    <w:abstractNumId w:val="40"/>
  </w:num>
  <w:num w:numId="23">
    <w:abstractNumId w:val="25"/>
  </w:num>
  <w:num w:numId="24">
    <w:abstractNumId w:val="33"/>
  </w:num>
  <w:num w:numId="25">
    <w:abstractNumId w:val="39"/>
  </w:num>
  <w:num w:numId="26">
    <w:abstractNumId w:val="38"/>
  </w:num>
  <w:num w:numId="27">
    <w:abstractNumId w:val="8"/>
  </w:num>
  <w:num w:numId="28">
    <w:abstractNumId w:val="6"/>
  </w:num>
  <w:num w:numId="29">
    <w:abstractNumId w:val="34"/>
  </w:num>
  <w:num w:numId="30">
    <w:abstractNumId w:val="15"/>
  </w:num>
  <w:num w:numId="31">
    <w:abstractNumId w:val="12"/>
  </w:num>
  <w:num w:numId="32">
    <w:abstractNumId w:val="18"/>
  </w:num>
  <w:num w:numId="3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4"/>
  </w:num>
  <w:num w:numId="36">
    <w:abstractNumId w:val="13"/>
  </w:num>
  <w:num w:numId="3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7"/>
  </w:num>
  <w:num w:numId="40">
    <w:abstractNumId w:val="29"/>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06E5D"/>
    <w:rsid w:val="000166C8"/>
    <w:rsid w:val="00022121"/>
    <w:rsid w:val="000235F5"/>
    <w:rsid w:val="00023E77"/>
    <w:rsid w:val="00030A2F"/>
    <w:rsid w:val="0003361C"/>
    <w:rsid w:val="000351DC"/>
    <w:rsid w:val="00036F9C"/>
    <w:rsid w:val="000374D0"/>
    <w:rsid w:val="0004173E"/>
    <w:rsid w:val="000425E8"/>
    <w:rsid w:val="00044779"/>
    <w:rsid w:val="0004702B"/>
    <w:rsid w:val="000518A3"/>
    <w:rsid w:val="000526EF"/>
    <w:rsid w:val="00053323"/>
    <w:rsid w:val="00055920"/>
    <w:rsid w:val="00056956"/>
    <w:rsid w:val="000629DA"/>
    <w:rsid w:val="00066831"/>
    <w:rsid w:val="000673AC"/>
    <w:rsid w:val="000703C3"/>
    <w:rsid w:val="00076A8D"/>
    <w:rsid w:val="00093743"/>
    <w:rsid w:val="000974B1"/>
    <w:rsid w:val="000976A0"/>
    <w:rsid w:val="00097B14"/>
    <w:rsid w:val="000A3EA1"/>
    <w:rsid w:val="000B586C"/>
    <w:rsid w:val="000B70B9"/>
    <w:rsid w:val="000C299A"/>
    <w:rsid w:val="000C6D28"/>
    <w:rsid w:val="000C74E0"/>
    <w:rsid w:val="000D2B73"/>
    <w:rsid w:val="000D64A0"/>
    <w:rsid w:val="000D6B5C"/>
    <w:rsid w:val="000E6245"/>
    <w:rsid w:val="000F4347"/>
    <w:rsid w:val="000F4EF5"/>
    <w:rsid w:val="001118ED"/>
    <w:rsid w:val="00111A60"/>
    <w:rsid w:val="001128BB"/>
    <w:rsid w:val="0011314F"/>
    <w:rsid w:val="00117341"/>
    <w:rsid w:val="00121446"/>
    <w:rsid w:val="00123B94"/>
    <w:rsid w:val="00131054"/>
    <w:rsid w:val="00140034"/>
    <w:rsid w:val="00140CAD"/>
    <w:rsid w:val="00143ACA"/>
    <w:rsid w:val="00143C7B"/>
    <w:rsid w:val="00152168"/>
    <w:rsid w:val="00154145"/>
    <w:rsid w:val="0015552C"/>
    <w:rsid w:val="00155819"/>
    <w:rsid w:val="00166BA1"/>
    <w:rsid w:val="00170090"/>
    <w:rsid w:val="00170164"/>
    <w:rsid w:val="00170237"/>
    <w:rsid w:val="00171B2A"/>
    <w:rsid w:val="001758AD"/>
    <w:rsid w:val="001814ED"/>
    <w:rsid w:val="00186D31"/>
    <w:rsid w:val="00190DA7"/>
    <w:rsid w:val="001918A0"/>
    <w:rsid w:val="00194B7E"/>
    <w:rsid w:val="001950DF"/>
    <w:rsid w:val="001966BD"/>
    <w:rsid w:val="001A1986"/>
    <w:rsid w:val="001A20BE"/>
    <w:rsid w:val="001A7637"/>
    <w:rsid w:val="001B45A5"/>
    <w:rsid w:val="001C282A"/>
    <w:rsid w:val="001C6A15"/>
    <w:rsid w:val="001D1924"/>
    <w:rsid w:val="001D6D0F"/>
    <w:rsid w:val="001E0D31"/>
    <w:rsid w:val="001E1850"/>
    <w:rsid w:val="001E1C1A"/>
    <w:rsid w:val="001E47B0"/>
    <w:rsid w:val="001E562F"/>
    <w:rsid w:val="001F09DC"/>
    <w:rsid w:val="001F4597"/>
    <w:rsid w:val="001F570D"/>
    <w:rsid w:val="001F6C20"/>
    <w:rsid w:val="001F7154"/>
    <w:rsid w:val="001F7522"/>
    <w:rsid w:val="00200FC9"/>
    <w:rsid w:val="00203B66"/>
    <w:rsid w:val="00215A27"/>
    <w:rsid w:val="002168D2"/>
    <w:rsid w:val="00217084"/>
    <w:rsid w:val="00224F38"/>
    <w:rsid w:val="00247EB2"/>
    <w:rsid w:val="002504CE"/>
    <w:rsid w:val="0025121F"/>
    <w:rsid w:val="00253C50"/>
    <w:rsid w:val="00261169"/>
    <w:rsid w:val="002677BE"/>
    <w:rsid w:val="00271D4A"/>
    <w:rsid w:val="00272F09"/>
    <w:rsid w:val="0028278A"/>
    <w:rsid w:val="0028782E"/>
    <w:rsid w:val="00290548"/>
    <w:rsid w:val="00294A45"/>
    <w:rsid w:val="002A0C88"/>
    <w:rsid w:val="002A1032"/>
    <w:rsid w:val="002A5EB2"/>
    <w:rsid w:val="002A6F17"/>
    <w:rsid w:val="002B2161"/>
    <w:rsid w:val="002B2E82"/>
    <w:rsid w:val="002B51AE"/>
    <w:rsid w:val="002B66DB"/>
    <w:rsid w:val="002B6E93"/>
    <w:rsid w:val="002C3802"/>
    <w:rsid w:val="002C4E76"/>
    <w:rsid w:val="002C5778"/>
    <w:rsid w:val="002C5C57"/>
    <w:rsid w:val="002C68A3"/>
    <w:rsid w:val="002D302D"/>
    <w:rsid w:val="002D4482"/>
    <w:rsid w:val="002D7D0C"/>
    <w:rsid w:val="002E0F28"/>
    <w:rsid w:val="002E1089"/>
    <w:rsid w:val="002E52C0"/>
    <w:rsid w:val="002E5A91"/>
    <w:rsid w:val="002F4CEC"/>
    <w:rsid w:val="002F59A1"/>
    <w:rsid w:val="002F6C94"/>
    <w:rsid w:val="0030385B"/>
    <w:rsid w:val="003055C5"/>
    <w:rsid w:val="00310900"/>
    <w:rsid w:val="00314A81"/>
    <w:rsid w:val="00314F87"/>
    <w:rsid w:val="003263B9"/>
    <w:rsid w:val="0032750F"/>
    <w:rsid w:val="003326A2"/>
    <w:rsid w:val="00336CFA"/>
    <w:rsid w:val="0034464F"/>
    <w:rsid w:val="0034724D"/>
    <w:rsid w:val="003531CA"/>
    <w:rsid w:val="00354BC7"/>
    <w:rsid w:val="0035657F"/>
    <w:rsid w:val="00367FA9"/>
    <w:rsid w:val="00370A3B"/>
    <w:rsid w:val="00370CDE"/>
    <w:rsid w:val="003720BD"/>
    <w:rsid w:val="0037275D"/>
    <w:rsid w:val="003758A6"/>
    <w:rsid w:val="003769F8"/>
    <w:rsid w:val="003830C8"/>
    <w:rsid w:val="00384891"/>
    <w:rsid w:val="0038781F"/>
    <w:rsid w:val="00387B61"/>
    <w:rsid w:val="003945C7"/>
    <w:rsid w:val="003955C1"/>
    <w:rsid w:val="00396C70"/>
    <w:rsid w:val="003A1F7B"/>
    <w:rsid w:val="003B01A2"/>
    <w:rsid w:val="003B0F23"/>
    <w:rsid w:val="003B1504"/>
    <w:rsid w:val="003B3A9C"/>
    <w:rsid w:val="003B58F1"/>
    <w:rsid w:val="003C0619"/>
    <w:rsid w:val="003C2D1A"/>
    <w:rsid w:val="003C4813"/>
    <w:rsid w:val="003C6F50"/>
    <w:rsid w:val="003D37AD"/>
    <w:rsid w:val="003D52BA"/>
    <w:rsid w:val="003D6151"/>
    <w:rsid w:val="003D68F9"/>
    <w:rsid w:val="003E26DC"/>
    <w:rsid w:val="003E34D4"/>
    <w:rsid w:val="003E3CCD"/>
    <w:rsid w:val="003F3712"/>
    <w:rsid w:val="003F4495"/>
    <w:rsid w:val="003F6092"/>
    <w:rsid w:val="003F6EBE"/>
    <w:rsid w:val="003F6F5C"/>
    <w:rsid w:val="00400A66"/>
    <w:rsid w:val="004069EE"/>
    <w:rsid w:val="004076EC"/>
    <w:rsid w:val="00415C37"/>
    <w:rsid w:val="00423337"/>
    <w:rsid w:val="00424E28"/>
    <w:rsid w:val="00431319"/>
    <w:rsid w:val="00436BAD"/>
    <w:rsid w:val="00441106"/>
    <w:rsid w:val="0045141B"/>
    <w:rsid w:val="0045356A"/>
    <w:rsid w:val="00453855"/>
    <w:rsid w:val="00454F7B"/>
    <w:rsid w:val="00460389"/>
    <w:rsid w:val="00460DBE"/>
    <w:rsid w:val="004623D0"/>
    <w:rsid w:val="00464AD3"/>
    <w:rsid w:val="00470F5A"/>
    <w:rsid w:val="00472CC6"/>
    <w:rsid w:val="004769FA"/>
    <w:rsid w:val="004779CF"/>
    <w:rsid w:val="00490CD7"/>
    <w:rsid w:val="004A1FC9"/>
    <w:rsid w:val="004A21E4"/>
    <w:rsid w:val="004A46C2"/>
    <w:rsid w:val="004A61A3"/>
    <w:rsid w:val="004A6F3A"/>
    <w:rsid w:val="004A73A0"/>
    <w:rsid w:val="004B08D2"/>
    <w:rsid w:val="004B4185"/>
    <w:rsid w:val="004B6926"/>
    <w:rsid w:val="004B7266"/>
    <w:rsid w:val="004C1714"/>
    <w:rsid w:val="004C1FE1"/>
    <w:rsid w:val="004C2E6B"/>
    <w:rsid w:val="004C3108"/>
    <w:rsid w:val="004D0567"/>
    <w:rsid w:val="004D3169"/>
    <w:rsid w:val="004D4AB4"/>
    <w:rsid w:val="004D7543"/>
    <w:rsid w:val="004D7915"/>
    <w:rsid w:val="004E4333"/>
    <w:rsid w:val="004E748D"/>
    <w:rsid w:val="004F2B0F"/>
    <w:rsid w:val="004F4B87"/>
    <w:rsid w:val="004F58B4"/>
    <w:rsid w:val="00504AFB"/>
    <w:rsid w:val="00507EF9"/>
    <w:rsid w:val="005140EA"/>
    <w:rsid w:val="00517422"/>
    <w:rsid w:val="005217C3"/>
    <w:rsid w:val="00521EA5"/>
    <w:rsid w:val="005234CC"/>
    <w:rsid w:val="0052356F"/>
    <w:rsid w:val="00523E75"/>
    <w:rsid w:val="005274EB"/>
    <w:rsid w:val="00531B07"/>
    <w:rsid w:val="00535E84"/>
    <w:rsid w:val="00540BB7"/>
    <w:rsid w:val="00540CE3"/>
    <w:rsid w:val="00542167"/>
    <w:rsid w:val="00542F04"/>
    <w:rsid w:val="005505E9"/>
    <w:rsid w:val="00553BC2"/>
    <w:rsid w:val="00556738"/>
    <w:rsid w:val="00565170"/>
    <w:rsid w:val="00570026"/>
    <w:rsid w:val="00583F40"/>
    <w:rsid w:val="005908B6"/>
    <w:rsid w:val="0059510E"/>
    <w:rsid w:val="005A0096"/>
    <w:rsid w:val="005A00C6"/>
    <w:rsid w:val="005A1AC3"/>
    <w:rsid w:val="005A3ACD"/>
    <w:rsid w:val="005B0EFA"/>
    <w:rsid w:val="005B3958"/>
    <w:rsid w:val="005B69FD"/>
    <w:rsid w:val="005C13BD"/>
    <w:rsid w:val="005C5A1F"/>
    <w:rsid w:val="005D00C2"/>
    <w:rsid w:val="005E30FA"/>
    <w:rsid w:val="005E4CC6"/>
    <w:rsid w:val="005E523D"/>
    <w:rsid w:val="005F4EB3"/>
    <w:rsid w:val="005F7B72"/>
    <w:rsid w:val="006054DC"/>
    <w:rsid w:val="006060B4"/>
    <w:rsid w:val="00607C02"/>
    <w:rsid w:val="00607C13"/>
    <w:rsid w:val="00607E3D"/>
    <w:rsid w:val="006106DD"/>
    <w:rsid w:val="00611C1D"/>
    <w:rsid w:val="00613A7F"/>
    <w:rsid w:val="00613A99"/>
    <w:rsid w:val="00617F17"/>
    <w:rsid w:val="00620FCF"/>
    <w:rsid w:val="00621AE5"/>
    <w:rsid w:val="006315D4"/>
    <w:rsid w:val="006333A6"/>
    <w:rsid w:val="0063354C"/>
    <w:rsid w:val="006337EE"/>
    <w:rsid w:val="00635217"/>
    <w:rsid w:val="006354D0"/>
    <w:rsid w:val="00635A5D"/>
    <w:rsid w:val="00640CA2"/>
    <w:rsid w:val="0064118C"/>
    <w:rsid w:val="0064182C"/>
    <w:rsid w:val="00641CA5"/>
    <w:rsid w:val="006431E7"/>
    <w:rsid w:val="006441F3"/>
    <w:rsid w:val="00645D1A"/>
    <w:rsid w:val="00653B95"/>
    <w:rsid w:val="00653F60"/>
    <w:rsid w:val="00662A95"/>
    <w:rsid w:val="006634B5"/>
    <w:rsid w:val="0067036D"/>
    <w:rsid w:val="0067335A"/>
    <w:rsid w:val="006773A8"/>
    <w:rsid w:val="0068520B"/>
    <w:rsid w:val="00685B03"/>
    <w:rsid w:val="00686F92"/>
    <w:rsid w:val="00691EB4"/>
    <w:rsid w:val="006956BC"/>
    <w:rsid w:val="006A0A8A"/>
    <w:rsid w:val="006A6344"/>
    <w:rsid w:val="006B090B"/>
    <w:rsid w:val="006B0E55"/>
    <w:rsid w:val="006B1DCA"/>
    <w:rsid w:val="006B3CC4"/>
    <w:rsid w:val="006B6E47"/>
    <w:rsid w:val="006B7333"/>
    <w:rsid w:val="006C0781"/>
    <w:rsid w:val="006C179B"/>
    <w:rsid w:val="006D0E19"/>
    <w:rsid w:val="006D351F"/>
    <w:rsid w:val="006D77C0"/>
    <w:rsid w:val="006E09BB"/>
    <w:rsid w:val="006E1F81"/>
    <w:rsid w:val="006E29C7"/>
    <w:rsid w:val="006E55EC"/>
    <w:rsid w:val="006E6422"/>
    <w:rsid w:val="006F1322"/>
    <w:rsid w:val="006F39F9"/>
    <w:rsid w:val="006F65F1"/>
    <w:rsid w:val="00707FAE"/>
    <w:rsid w:val="00711AE7"/>
    <w:rsid w:val="00711B52"/>
    <w:rsid w:val="00713DE8"/>
    <w:rsid w:val="00714E97"/>
    <w:rsid w:val="00716337"/>
    <w:rsid w:val="00724EF4"/>
    <w:rsid w:val="007279A6"/>
    <w:rsid w:val="00733ED1"/>
    <w:rsid w:val="00737571"/>
    <w:rsid w:val="007437CB"/>
    <w:rsid w:val="007460F3"/>
    <w:rsid w:val="007507A2"/>
    <w:rsid w:val="00750D57"/>
    <w:rsid w:val="0075375B"/>
    <w:rsid w:val="00763E57"/>
    <w:rsid w:val="00765AC2"/>
    <w:rsid w:val="00767437"/>
    <w:rsid w:val="00771FE5"/>
    <w:rsid w:val="00773045"/>
    <w:rsid w:val="00776851"/>
    <w:rsid w:val="0077744A"/>
    <w:rsid w:val="00781D8F"/>
    <w:rsid w:val="007821A1"/>
    <w:rsid w:val="0078282B"/>
    <w:rsid w:val="0078295A"/>
    <w:rsid w:val="00784AC2"/>
    <w:rsid w:val="007935CA"/>
    <w:rsid w:val="007A3A69"/>
    <w:rsid w:val="007A3E8A"/>
    <w:rsid w:val="007A5449"/>
    <w:rsid w:val="007A7752"/>
    <w:rsid w:val="007B1A09"/>
    <w:rsid w:val="007B5A5C"/>
    <w:rsid w:val="007B7E4C"/>
    <w:rsid w:val="007C0E6C"/>
    <w:rsid w:val="007C28BE"/>
    <w:rsid w:val="007C504C"/>
    <w:rsid w:val="007C556C"/>
    <w:rsid w:val="007C6CE6"/>
    <w:rsid w:val="007D4B0C"/>
    <w:rsid w:val="007E0D6A"/>
    <w:rsid w:val="007F1C32"/>
    <w:rsid w:val="007F461B"/>
    <w:rsid w:val="00800329"/>
    <w:rsid w:val="0080141D"/>
    <w:rsid w:val="008041E8"/>
    <w:rsid w:val="00805121"/>
    <w:rsid w:val="008102D4"/>
    <w:rsid w:val="00812111"/>
    <w:rsid w:val="00813EF0"/>
    <w:rsid w:val="008162EB"/>
    <w:rsid w:val="00832FED"/>
    <w:rsid w:val="00841623"/>
    <w:rsid w:val="00841E0F"/>
    <w:rsid w:val="00847559"/>
    <w:rsid w:val="00847E3F"/>
    <w:rsid w:val="00850572"/>
    <w:rsid w:val="008507B1"/>
    <w:rsid w:val="00855A32"/>
    <w:rsid w:val="0086034E"/>
    <w:rsid w:val="00861273"/>
    <w:rsid w:val="00865117"/>
    <w:rsid w:val="008703AE"/>
    <w:rsid w:val="0087225B"/>
    <w:rsid w:val="00873373"/>
    <w:rsid w:val="00874C40"/>
    <w:rsid w:val="00876134"/>
    <w:rsid w:val="00881EEA"/>
    <w:rsid w:val="008823BF"/>
    <w:rsid w:val="008A121B"/>
    <w:rsid w:val="008A1E89"/>
    <w:rsid w:val="008A4209"/>
    <w:rsid w:val="008B3A44"/>
    <w:rsid w:val="008B4BEE"/>
    <w:rsid w:val="008C5316"/>
    <w:rsid w:val="008C533E"/>
    <w:rsid w:val="008C5E02"/>
    <w:rsid w:val="008C6D93"/>
    <w:rsid w:val="008D14F6"/>
    <w:rsid w:val="008D37BC"/>
    <w:rsid w:val="008D4EE7"/>
    <w:rsid w:val="008E25F0"/>
    <w:rsid w:val="008E58C1"/>
    <w:rsid w:val="008E6CF4"/>
    <w:rsid w:val="008E73A9"/>
    <w:rsid w:val="008F1FE5"/>
    <w:rsid w:val="008F298F"/>
    <w:rsid w:val="008F5CDE"/>
    <w:rsid w:val="008F7D42"/>
    <w:rsid w:val="00903938"/>
    <w:rsid w:val="00903E3A"/>
    <w:rsid w:val="009100A9"/>
    <w:rsid w:val="0091435A"/>
    <w:rsid w:val="009202BD"/>
    <w:rsid w:val="00921A98"/>
    <w:rsid w:val="00922116"/>
    <w:rsid w:val="009247B3"/>
    <w:rsid w:val="009267B0"/>
    <w:rsid w:val="00943811"/>
    <w:rsid w:val="00944DEC"/>
    <w:rsid w:val="00945AB9"/>
    <w:rsid w:val="00946814"/>
    <w:rsid w:val="009546A8"/>
    <w:rsid w:val="0096653C"/>
    <w:rsid w:val="00967707"/>
    <w:rsid w:val="00967BFC"/>
    <w:rsid w:val="00970B9B"/>
    <w:rsid w:val="009711D1"/>
    <w:rsid w:val="0097620F"/>
    <w:rsid w:val="00983FF2"/>
    <w:rsid w:val="009922E3"/>
    <w:rsid w:val="009A1E77"/>
    <w:rsid w:val="009A4595"/>
    <w:rsid w:val="009B1E83"/>
    <w:rsid w:val="009B499E"/>
    <w:rsid w:val="009B7612"/>
    <w:rsid w:val="009B789B"/>
    <w:rsid w:val="009C0B75"/>
    <w:rsid w:val="009C2FB0"/>
    <w:rsid w:val="009C3508"/>
    <w:rsid w:val="009C5128"/>
    <w:rsid w:val="009C65A8"/>
    <w:rsid w:val="009D5A93"/>
    <w:rsid w:val="009E0BA9"/>
    <w:rsid w:val="009E1E61"/>
    <w:rsid w:val="009E5B12"/>
    <w:rsid w:val="009E735F"/>
    <w:rsid w:val="009F1618"/>
    <w:rsid w:val="009F45FE"/>
    <w:rsid w:val="00A00BAA"/>
    <w:rsid w:val="00A039D3"/>
    <w:rsid w:val="00A06890"/>
    <w:rsid w:val="00A1292A"/>
    <w:rsid w:val="00A12F53"/>
    <w:rsid w:val="00A24E4A"/>
    <w:rsid w:val="00A24FFA"/>
    <w:rsid w:val="00A256A1"/>
    <w:rsid w:val="00A27E6A"/>
    <w:rsid w:val="00A30093"/>
    <w:rsid w:val="00A30C82"/>
    <w:rsid w:val="00A35A7D"/>
    <w:rsid w:val="00A406DA"/>
    <w:rsid w:val="00A42FDA"/>
    <w:rsid w:val="00A43531"/>
    <w:rsid w:val="00A53BBB"/>
    <w:rsid w:val="00A6076E"/>
    <w:rsid w:val="00A61A02"/>
    <w:rsid w:val="00A61A2D"/>
    <w:rsid w:val="00A63E11"/>
    <w:rsid w:val="00A662D9"/>
    <w:rsid w:val="00A72D99"/>
    <w:rsid w:val="00A73CFD"/>
    <w:rsid w:val="00A8258F"/>
    <w:rsid w:val="00A9736F"/>
    <w:rsid w:val="00AA1ECB"/>
    <w:rsid w:val="00AA2C7C"/>
    <w:rsid w:val="00AA5A67"/>
    <w:rsid w:val="00AA67A3"/>
    <w:rsid w:val="00AB0A61"/>
    <w:rsid w:val="00AB3BA6"/>
    <w:rsid w:val="00AC17C7"/>
    <w:rsid w:val="00AC3114"/>
    <w:rsid w:val="00AC459C"/>
    <w:rsid w:val="00AD1A37"/>
    <w:rsid w:val="00AD7D30"/>
    <w:rsid w:val="00AE1D7F"/>
    <w:rsid w:val="00AE1EFE"/>
    <w:rsid w:val="00AE4E07"/>
    <w:rsid w:val="00AF0759"/>
    <w:rsid w:val="00B05AB8"/>
    <w:rsid w:val="00B069A2"/>
    <w:rsid w:val="00B07C1A"/>
    <w:rsid w:val="00B125E8"/>
    <w:rsid w:val="00B1311E"/>
    <w:rsid w:val="00B17156"/>
    <w:rsid w:val="00B17C0E"/>
    <w:rsid w:val="00B21438"/>
    <w:rsid w:val="00B32A2F"/>
    <w:rsid w:val="00B367CE"/>
    <w:rsid w:val="00B409D4"/>
    <w:rsid w:val="00B4153F"/>
    <w:rsid w:val="00B416CE"/>
    <w:rsid w:val="00B43DA5"/>
    <w:rsid w:val="00B44118"/>
    <w:rsid w:val="00B4665E"/>
    <w:rsid w:val="00B46F68"/>
    <w:rsid w:val="00B5082F"/>
    <w:rsid w:val="00B523FB"/>
    <w:rsid w:val="00B569A7"/>
    <w:rsid w:val="00B605C7"/>
    <w:rsid w:val="00B619CB"/>
    <w:rsid w:val="00B61E2C"/>
    <w:rsid w:val="00B66085"/>
    <w:rsid w:val="00B75B96"/>
    <w:rsid w:val="00B7758B"/>
    <w:rsid w:val="00B80982"/>
    <w:rsid w:val="00B80F2C"/>
    <w:rsid w:val="00B83A14"/>
    <w:rsid w:val="00B83B8B"/>
    <w:rsid w:val="00B84273"/>
    <w:rsid w:val="00B84CB5"/>
    <w:rsid w:val="00B86F19"/>
    <w:rsid w:val="00B916B0"/>
    <w:rsid w:val="00B93874"/>
    <w:rsid w:val="00B94767"/>
    <w:rsid w:val="00B94988"/>
    <w:rsid w:val="00B96711"/>
    <w:rsid w:val="00BA6EDF"/>
    <w:rsid w:val="00BA7D7F"/>
    <w:rsid w:val="00BB062C"/>
    <w:rsid w:val="00BB49ED"/>
    <w:rsid w:val="00BB67AD"/>
    <w:rsid w:val="00BB7266"/>
    <w:rsid w:val="00BC55D6"/>
    <w:rsid w:val="00BC774B"/>
    <w:rsid w:val="00BD39BD"/>
    <w:rsid w:val="00BE0E0C"/>
    <w:rsid w:val="00BE13C9"/>
    <w:rsid w:val="00BE27E7"/>
    <w:rsid w:val="00BE3A84"/>
    <w:rsid w:val="00BE61E4"/>
    <w:rsid w:val="00BE6BEC"/>
    <w:rsid w:val="00BE7EEB"/>
    <w:rsid w:val="00C00334"/>
    <w:rsid w:val="00C02BB6"/>
    <w:rsid w:val="00C118F3"/>
    <w:rsid w:val="00C11948"/>
    <w:rsid w:val="00C144B1"/>
    <w:rsid w:val="00C17457"/>
    <w:rsid w:val="00C20909"/>
    <w:rsid w:val="00C225E7"/>
    <w:rsid w:val="00C26EB6"/>
    <w:rsid w:val="00C30863"/>
    <w:rsid w:val="00C368BE"/>
    <w:rsid w:val="00C412B5"/>
    <w:rsid w:val="00C418AB"/>
    <w:rsid w:val="00C45D89"/>
    <w:rsid w:val="00C52D63"/>
    <w:rsid w:val="00C61781"/>
    <w:rsid w:val="00C64598"/>
    <w:rsid w:val="00C80813"/>
    <w:rsid w:val="00C81A3E"/>
    <w:rsid w:val="00C81ACD"/>
    <w:rsid w:val="00C82D24"/>
    <w:rsid w:val="00C82D4E"/>
    <w:rsid w:val="00C8563C"/>
    <w:rsid w:val="00C87602"/>
    <w:rsid w:val="00C92482"/>
    <w:rsid w:val="00CA5EE7"/>
    <w:rsid w:val="00CB1B7E"/>
    <w:rsid w:val="00CB7FA3"/>
    <w:rsid w:val="00CC0746"/>
    <w:rsid w:val="00CC39DF"/>
    <w:rsid w:val="00CC6B4B"/>
    <w:rsid w:val="00CC6EE1"/>
    <w:rsid w:val="00CD45E5"/>
    <w:rsid w:val="00CD4B38"/>
    <w:rsid w:val="00CD4C77"/>
    <w:rsid w:val="00CE09C0"/>
    <w:rsid w:val="00CF1269"/>
    <w:rsid w:val="00CF29D3"/>
    <w:rsid w:val="00CF3821"/>
    <w:rsid w:val="00CF4E8A"/>
    <w:rsid w:val="00CF69EC"/>
    <w:rsid w:val="00CF723A"/>
    <w:rsid w:val="00CF7BDD"/>
    <w:rsid w:val="00D000F7"/>
    <w:rsid w:val="00D00322"/>
    <w:rsid w:val="00D00693"/>
    <w:rsid w:val="00D02190"/>
    <w:rsid w:val="00D068F2"/>
    <w:rsid w:val="00D12119"/>
    <w:rsid w:val="00D12741"/>
    <w:rsid w:val="00D34264"/>
    <w:rsid w:val="00D354DA"/>
    <w:rsid w:val="00D354F6"/>
    <w:rsid w:val="00D359F0"/>
    <w:rsid w:val="00D40818"/>
    <w:rsid w:val="00D51950"/>
    <w:rsid w:val="00D53B9F"/>
    <w:rsid w:val="00D54E03"/>
    <w:rsid w:val="00D61E8F"/>
    <w:rsid w:val="00D654C2"/>
    <w:rsid w:val="00D7268D"/>
    <w:rsid w:val="00D8383A"/>
    <w:rsid w:val="00D876F7"/>
    <w:rsid w:val="00D96204"/>
    <w:rsid w:val="00D96D9D"/>
    <w:rsid w:val="00D96EDA"/>
    <w:rsid w:val="00D96FF1"/>
    <w:rsid w:val="00D9752D"/>
    <w:rsid w:val="00DA105A"/>
    <w:rsid w:val="00DB0C81"/>
    <w:rsid w:val="00DB49A1"/>
    <w:rsid w:val="00DB4F85"/>
    <w:rsid w:val="00DC6F8E"/>
    <w:rsid w:val="00DC7092"/>
    <w:rsid w:val="00DD16BF"/>
    <w:rsid w:val="00DD4ACD"/>
    <w:rsid w:val="00DE7606"/>
    <w:rsid w:val="00DF4D53"/>
    <w:rsid w:val="00DF53E5"/>
    <w:rsid w:val="00DF5D3C"/>
    <w:rsid w:val="00E007A7"/>
    <w:rsid w:val="00E01862"/>
    <w:rsid w:val="00E01F37"/>
    <w:rsid w:val="00E02EC9"/>
    <w:rsid w:val="00E149F3"/>
    <w:rsid w:val="00E164B6"/>
    <w:rsid w:val="00E215FD"/>
    <w:rsid w:val="00E22548"/>
    <w:rsid w:val="00E22FFA"/>
    <w:rsid w:val="00E251A4"/>
    <w:rsid w:val="00E4221B"/>
    <w:rsid w:val="00E45A4F"/>
    <w:rsid w:val="00E46662"/>
    <w:rsid w:val="00E46C51"/>
    <w:rsid w:val="00E55596"/>
    <w:rsid w:val="00E567D2"/>
    <w:rsid w:val="00E56ADC"/>
    <w:rsid w:val="00E57409"/>
    <w:rsid w:val="00E62C38"/>
    <w:rsid w:val="00E663C6"/>
    <w:rsid w:val="00E74A40"/>
    <w:rsid w:val="00E8247F"/>
    <w:rsid w:val="00E87FFC"/>
    <w:rsid w:val="00E9028F"/>
    <w:rsid w:val="00E942E2"/>
    <w:rsid w:val="00E95F2F"/>
    <w:rsid w:val="00E961DF"/>
    <w:rsid w:val="00E9762A"/>
    <w:rsid w:val="00EA27E9"/>
    <w:rsid w:val="00EA56B8"/>
    <w:rsid w:val="00EB4F9B"/>
    <w:rsid w:val="00EB7031"/>
    <w:rsid w:val="00EC0407"/>
    <w:rsid w:val="00EC1064"/>
    <w:rsid w:val="00EC5A8C"/>
    <w:rsid w:val="00EC5D86"/>
    <w:rsid w:val="00EC5DC7"/>
    <w:rsid w:val="00EC7384"/>
    <w:rsid w:val="00ED0472"/>
    <w:rsid w:val="00ED2E57"/>
    <w:rsid w:val="00ED4304"/>
    <w:rsid w:val="00ED5690"/>
    <w:rsid w:val="00ED5AD3"/>
    <w:rsid w:val="00EF57D2"/>
    <w:rsid w:val="00F014FE"/>
    <w:rsid w:val="00F05D9D"/>
    <w:rsid w:val="00F07A29"/>
    <w:rsid w:val="00F13CA6"/>
    <w:rsid w:val="00F14B31"/>
    <w:rsid w:val="00F2227D"/>
    <w:rsid w:val="00F225C8"/>
    <w:rsid w:val="00F2516F"/>
    <w:rsid w:val="00F266F1"/>
    <w:rsid w:val="00F272A6"/>
    <w:rsid w:val="00F3091F"/>
    <w:rsid w:val="00F3164A"/>
    <w:rsid w:val="00F31F96"/>
    <w:rsid w:val="00F34905"/>
    <w:rsid w:val="00F35E18"/>
    <w:rsid w:val="00F407FB"/>
    <w:rsid w:val="00F42D53"/>
    <w:rsid w:val="00F43431"/>
    <w:rsid w:val="00F503D8"/>
    <w:rsid w:val="00F5189F"/>
    <w:rsid w:val="00F57210"/>
    <w:rsid w:val="00F65E48"/>
    <w:rsid w:val="00F664A8"/>
    <w:rsid w:val="00F706E2"/>
    <w:rsid w:val="00F724E2"/>
    <w:rsid w:val="00F731D1"/>
    <w:rsid w:val="00F83D1C"/>
    <w:rsid w:val="00F8772B"/>
    <w:rsid w:val="00F90FB6"/>
    <w:rsid w:val="00F916EE"/>
    <w:rsid w:val="00F92081"/>
    <w:rsid w:val="00F97DE1"/>
    <w:rsid w:val="00FA06A2"/>
    <w:rsid w:val="00FA29A5"/>
    <w:rsid w:val="00FA41B3"/>
    <w:rsid w:val="00FB0339"/>
    <w:rsid w:val="00FB3199"/>
    <w:rsid w:val="00FC0351"/>
    <w:rsid w:val="00FC3883"/>
    <w:rsid w:val="00FD0055"/>
    <w:rsid w:val="00FD19B6"/>
    <w:rsid w:val="00FD37F2"/>
    <w:rsid w:val="00FD3DA7"/>
    <w:rsid w:val="00FE2DEB"/>
    <w:rsid w:val="00FE39E3"/>
    <w:rsid w:val="00FE595D"/>
    <w:rsid w:val="00FE705E"/>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
    <w:name w:val="caption"/>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6413C-6F4E-4115-8629-F5DDCE9C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1214</Words>
  <Characters>7518</Characters>
  <Application>Microsoft Office Word</Application>
  <DocSecurity>0</DocSecurity>
  <Lines>1879</Lines>
  <Paragraphs>545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13</cp:revision>
  <cp:lastPrinted>2017-07-06T19:30:00Z</cp:lastPrinted>
  <dcterms:created xsi:type="dcterms:W3CDTF">2017-07-14T14:42:00Z</dcterms:created>
  <dcterms:modified xsi:type="dcterms:W3CDTF">2017-07-20T18:32:00Z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